
<file path=[Content_Types].xml><?xml version="1.0" encoding="utf-8"?>
<Types xmlns="http://schemas.openxmlformats.org/package/2006/content-types">
  <Default ContentType="application/vnd.openxmlformats-package.relationships+xml" Extension="rels"/>
  <Default ContentType="application/xml" Extension="xml"/>
  <Override ContentType="application/vnd.openxmlformats-officedocument.customXmlProperties+xml" PartName="/customXml/itemProps1.xml"/>
  <Override ContentType="application/vnd.openxmlformats-officedocument.extended-properties+xml" PartName="/docProps/app.xml"/>
  <Override ContentType="application/vnd.openxmlformats-package.core-properties+xml" PartName="/docProps/core.xml"/>
  <Override ContentType="application/vnd.openxmlformats-officedocument.custom-properties+xml" PartName="/docProps/custom.xml"/>
  <Override ContentType="application/vnd.openxmlformats-officedocument.wordprocessingml.document.main+xml" PartName="/word/document.xml"/>
  <Override ContentType="application/vnd.openxmlformats-officedocument.wordprocessingml.fontTable+xml" PartName="/word/fontTable.xml"/>
  <Override ContentType="application/vnd.openxmlformats-officedocument.wordprocessingml.footer+xml" PartName="/word/footer1.xml"/>
  <Default ContentType="image/png" Extension="png"/>
  <Override ContentType="application/vnd.openxmlformats-officedocument.wordprocessingml.numbering+xml" PartName="/word/numbering.xml"/>
  <Override ContentType="application/vnd.openxmlformats-officedocument.wordprocessingml.settings+xml" PartName="/word/settings.xml"/>
  <Override ContentType="application/vnd.openxmlformats-officedocument.wordprocessingml.styles+xml" PartName="/word/styles.xml"/>
  <Override ContentType="application/vnd.openxmlformats-officedocument.theme+xml" PartName="/word/theme/theme1.xml"/>
</Types>
</file>

<file path=_rels/.rels><?xml version="1.0" encoding="UTF-8" standalone="yes"?>
<Relationships xmlns="http://schemas.openxmlformats.org/package/2006/relationships"><Relationship Id="rId1" Type="http://schemas.openxmlformats.org/officeDocument/2006/relationships/extended-properties" Target="docProps/app.xml"/><Relationship Id="rId2" Type="http://schemas.openxmlformats.org/package/2006/relationships/metadata/core-properties" Target="docProps/core.xml"/><Relationship Id="rId4" Type="http://schemas.openxmlformats.org/officeDocument/2006/relationships/officeDocument" Target="word/document.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mc:Ignorable="w14 wp14">
  <w:body>
    <w:p>
      <w:pPr>
        <w:snapToGrid w:val="0"/>
        <w:spacing w:line="440" w:lineRule="exact"/>
        <w:jc w:val="center"/>
        <w:rPr>
          <w:rFonts w:ascii="宋体" w:hAnsi="宋体" w:eastAsia="宋体"/>
          <w:b/>
          <w:sz w:val="32"/>
        </w:rPr>
      </w:pPr>
      <w:r>
        <w:rPr>
          <w:rFonts w:hint="eastAsia" w:ascii="宋体" w:hAnsi="宋体" w:eastAsia="宋体"/>
          <w:b/>
          <w:sz w:val="32"/>
        </w:rPr>
        <w:t>项目招标范围及管理要求</w:t>
      </w:r>
    </w:p>
    <w:p>
      <w:pPr>
        <w:spacing w:line="440" w:lineRule="exact"/>
        <w:rPr>
          <w:rFonts w:ascii="宋体" w:hAnsi="宋体" w:eastAsia="宋体"/>
          <w:sz w:val="24"/>
        </w:rPr>
      </w:pPr>
    </w:p>
    <w:p>
      <w:pPr>
        <w:pStyle w:val="22"/>
        <w:numPr>
          <w:ilvl w:val="0"/>
          <w:numId w:val="4"/>
        </w:numPr>
        <w:autoSpaceDE w:val="0"/>
        <w:autoSpaceDN w:val="0"/>
        <w:adjustRightInd w:val="0"/>
        <w:snapToGrid w:val="0"/>
        <w:spacing w:line="440" w:lineRule="exact"/>
        <w:ind w:firstLineChars="0"/>
        <w:jc w:val="left"/>
        <w:outlineLvl w:val="0"/>
        <w:rPr>
          <w:rFonts w:ascii="宋体" w:hAnsi="宋体" w:eastAsia="宋体" w:cs="宋体"/>
          <w:b/>
          <w:bCs/>
          <w:sz w:val="24"/>
        </w:rPr>
      </w:pPr>
      <w:bookmarkStart w:id="0" w:name="_Toc3403"/>
      <w:r>
        <w:rPr>
          <w:rFonts w:hint="eastAsia" w:ascii="宋体" w:hAnsi="宋体" w:eastAsia="宋体" w:cs="宋体"/>
          <w:b/>
          <w:bCs/>
          <w:sz w:val="24"/>
        </w:rPr>
        <w:t>工程概况</w:t>
      </w:r>
      <w:bookmarkEnd w:id="0"/>
    </w:p>
    <w:p>
      <w:pPr>
        <w:pStyle w:val="22"/>
        <w:numPr>
          <w:ilvl w:val="1"/>
          <w:numId w:val="4"/>
        </w:numPr>
        <w:autoSpaceDE w:val="0"/>
        <w:autoSpaceDN w:val="0"/>
        <w:adjustRightInd w:val="0"/>
        <w:snapToGrid w:val="0"/>
        <w:spacing w:line="440" w:lineRule="exact"/>
        <w:ind w:firstLineChars="0"/>
        <w:jc w:val="left"/>
        <w:rPr>
          <w:rFonts w:ascii="宋体" w:hAnsi="宋体" w:eastAsia="宋体" w:cs="宋体"/>
          <w:sz w:val="24"/>
        </w:rPr>
      </w:pPr>
      <w:r>
        <w:rPr>
          <w:rFonts w:hint="eastAsia" w:ascii="宋体" w:hAnsi="宋体" w:eastAsia="宋体" w:cs="宋体"/>
          <w:sz w:val="24"/>
        </w:rPr>
        <w:t>工程名称：</w:t>
      </w:r>
      <w:r>
        <w:rPr>
          <w:rFonts w:hint="eastAsia" w:ascii="宋体" w:hAnsi="宋体"/>
          <w:sz w:val="24"/>
        </w:rPr>
        <w:t>安徽科达机电高端装备智能制造工厂工业用电工程</w:t>
      </w:r>
    </w:p>
    <w:p>
      <w:pPr>
        <w:pStyle w:val="22"/>
        <w:numPr>
          <w:ilvl w:val="1"/>
          <w:numId w:val="4"/>
        </w:numPr>
        <w:autoSpaceDE w:val="0"/>
        <w:autoSpaceDN w:val="0"/>
        <w:adjustRightInd w:val="0"/>
        <w:snapToGrid w:val="0"/>
        <w:spacing w:line="440" w:lineRule="exact"/>
        <w:ind w:firstLineChars="0"/>
        <w:jc w:val="left"/>
        <w:rPr>
          <w:rFonts w:ascii="宋体" w:hAnsi="宋体" w:eastAsia="宋体" w:cs="宋体"/>
          <w:sz w:val="24"/>
        </w:rPr>
      </w:pPr>
      <w:r>
        <w:rPr>
          <w:rFonts w:ascii="宋体" w:hAnsi="宋体" w:eastAsia="宋体" w:cs="宋体"/>
          <w:sz w:val="24"/>
        </w:rPr>
        <w:t>建设单位：安徽科达机电股份有限公司</w:t>
      </w:r>
    </w:p>
    <w:p>
      <w:pPr>
        <w:pStyle w:val="22"/>
        <w:numPr>
          <w:ilvl w:val="1"/>
          <w:numId w:val="4"/>
        </w:numPr>
        <w:autoSpaceDE w:val="0"/>
        <w:autoSpaceDN w:val="0"/>
        <w:adjustRightInd w:val="0"/>
        <w:snapToGrid w:val="0"/>
        <w:spacing w:line="440" w:lineRule="exact"/>
        <w:ind w:firstLineChars="0"/>
        <w:jc w:val="left"/>
        <w:rPr>
          <w:rFonts w:ascii="宋体" w:hAnsi="宋体" w:eastAsia="宋体" w:cs="宋体"/>
          <w:sz w:val="24"/>
        </w:rPr>
      </w:pPr>
      <w:r>
        <w:rPr>
          <w:rFonts w:hint="eastAsia" w:ascii="宋体" w:hAnsi="宋体" w:eastAsia="宋体" w:cs="宋体"/>
          <w:sz w:val="24"/>
        </w:rPr>
        <w:t>工程地点</w:t>
      </w:r>
      <w:r>
        <w:rPr>
          <w:rFonts w:ascii="宋体" w:hAnsi="宋体" w:eastAsia="宋体" w:cs="宋体"/>
          <w:sz w:val="24"/>
        </w:rPr>
        <w:t>：</w:t>
      </w:r>
      <w:r>
        <w:rPr>
          <w:rFonts w:hint="eastAsia" w:ascii="宋体" w:hAnsi="宋体" w:eastAsia="宋体" w:cs="宋体"/>
          <w:sz w:val="24"/>
        </w:rPr>
        <w:t>安徽省马鞍山市</w:t>
      </w:r>
      <w:r>
        <w:rPr>
          <w:rFonts w:ascii="宋体" w:hAnsi="宋体" w:eastAsia="宋体" w:cs="宋体"/>
          <w:sz w:val="24"/>
        </w:rPr>
        <w:t>安徽科达机电股份有限公司</w:t>
      </w:r>
    </w:p>
    <w:p>
      <w:pPr>
        <w:pStyle w:val="22"/>
        <w:numPr>
          <w:ilvl w:val="1"/>
          <w:numId w:val="4"/>
        </w:numPr>
        <w:autoSpaceDE w:val="0"/>
        <w:autoSpaceDN w:val="0"/>
        <w:adjustRightInd w:val="0"/>
        <w:snapToGrid w:val="0"/>
        <w:spacing w:line="440" w:lineRule="exact"/>
        <w:ind w:firstLineChars="0"/>
        <w:jc w:val="left"/>
        <w:rPr>
          <w:rFonts w:ascii="宋体" w:hAnsi="宋体" w:eastAsia="宋体" w:cs="宋体"/>
          <w:sz w:val="24"/>
        </w:rPr>
      </w:pPr>
      <w:r>
        <w:rPr>
          <w:rFonts w:hint="eastAsia" w:ascii="宋体" w:hAnsi="宋体" w:eastAsia="宋体" w:cs="宋体"/>
          <w:sz w:val="24"/>
        </w:rPr>
        <w:t>工程内容：</w:t>
      </w:r>
      <w:r>
        <w:rPr>
          <w:rFonts w:hint="eastAsia" w:ascii="宋体" w:hAnsi="宋体" w:eastAsia="宋体" w:cs="宋体"/>
          <w:sz w:val="24"/>
          <w:lang w:val="en-US" w:eastAsia="zh-CN"/>
        </w:rPr>
        <w:t>电缆、母线安装及室外电源接入</w:t>
      </w:r>
      <w:r>
        <w:rPr>
          <w:rFonts w:hint="eastAsia" w:ascii="宋体" w:hAnsi="宋体" w:eastAsia="宋体" w:cs="宋体"/>
          <w:sz w:val="24"/>
        </w:rPr>
        <w:t>，具体详见招标范围。</w:t>
      </w:r>
    </w:p>
    <w:p>
      <w:pPr>
        <w:pStyle w:val="22"/>
        <w:numPr>
          <w:ilvl w:val="1"/>
          <w:numId w:val="4"/>
        </w:numPr>
        <w:autoSpaceDE w:val="0"/>
        <w:autoSpaceDN w:val="0"/>
        <w:adjustRightInd w:val="0"/>
        <w:snapToGrid w:val="0"/>
        <w:spacing w:line="440" w:lineRule="exact"/>
        <w:ind w:firstLineChars="0"/>
        <w:jc w:val="left"/>
        <w:rPr>
          <w:rFonts w:ascii="宋体" w:hAnsi="宋体" w:eastAsia="宋体" w:cs="宋体"/>
          <w:sz w:val="24"/>
        </w:rPr>
      </w:pPr>
      <w:r>
        <w:rPr>
          <w:rFonts w:hint="eastAsia" w:ascii="宋体" w:hAnsi="宋体" w:eastAsia="宋体" w:cs="宋体"/>
          <w:sz w:val="24"/>
        </w:rPr>
        <w:t>建筑面积：</w:t>
      </w:r>
      <w:r>
        <w:rPr>
          <w:rFonts w:hint="eastAsia" w:ascii="宋体" w:hAnsi="宋体" w:eastAsia="宋体" w:cs="宋体"/>
          <w:sz w:val="24"/>
          <w:lang w:val="en-US" w:eastAsia="zh-CN"/>
        </w:rPr>
        <w:t>28072.04</w:t>
      </w:r>
      <w:r>
        <w:rPr>
          <w:rFonts w:hint="eastAsia" w:ascii="宋体" w:hAnsi="宋体" w:eastAsia="宋体" w:cs="宋体"/>
          <w:sz w:val="24"/>
        </w:rPr>
        <w:t>平方米。</w:t>
      </w:r>
    </w:p>
    <w:p>
      <w:pPr>
        <w:pStyle w:val="22"/>
        <w:numPr>
          <w:ilvl w:val="0"/>
          <w:numId w:val="4"/>
        </w:numPr>
        <w:autoSpaceDE w:val="0"/>
        <w:autoSpaceDN w:val="0"/>
        <w:adjustRightInd w:val="0"/>
        <w:snapToGrid w:val="0"/>
        <w:spacing w:line="440" w:lineRule="exact"/>
        <w:ind w:firstLineChars="0"/>
        <w:jc w:val="left"/>
        <w:outlineLvl w:val="0"/>
        <w:rPr>
          <w:rFonts w:ascii="宋体" w:hAnsi="宋体" w:eastAsia="宋体" w:cs="宋体"/>
          <w:b/>
          <w:bCs/>
          <w:sz w:val="24"/>
        </w:rPr>
      </w:pPr>
      <w:bookmarkStart w:id="1" w:name="_Toc4460"/>
      <w:r>
        <w:rPr>
          <w:rFonts w:hint="eastAsia" w:ascii="宋体" w:hAnsi="宋体" w:eastAsia="宋体" w:cs="宋体"/>
          <w:b/>
          <w:bCs/>
          <w:sz w:val="24"/>
        </w:rPr>
        <w:t>招标范围</w:t>
      </w:r>
      <w:bookmarkEnd w:id="1"/>
    </w:p>
    <w:p>
      <w:pPr>
        <w:spacing w:line="440" w:lineRule="exact"/>
        <w:ind w:firstLine="480" w:firstLineChars="200"/>
        <w:rPr>
          <w:rFonts w:ascii="宋体" w:hAnsi="宋体" w:cs="宋体"/>
          <w:b/>
          <w:sz w:val="24"/>
        </w:rPr>
      </w:pPr>
      <w:r>
        <w:rPr>
          <w:rFonts w:hint="eastAsia" w:ascii="宋体" w:hAnsi="宋体" w:cs="宋体"/>
          <w:sz w:val="24"/>
        </w:rPr>
        <w:t>本次招标范围涵盖</w:t>
      </w:r>
      <w:r>
        <w:rPr>
          <w:rFonts w:hint="eastAsia" w:ascii="宋体" w:hAnsi="宋体" w:cs="宋体"/>
          <w:sz w:val="24"/>
          <w:lang w:val="en-US" w:eastAsia="zh-CN"/>
        </w:rPr>
        <w:t>B厂房、辅助厂房母线、电缆、配电柜安装及与机电原配电房电源接入</w:t>
      </w:r>
      <w:r>
        <w:rPr>
          <w:rFonts w:hint="eastAsia" w:ascii="宋体" w:hAnsi="宋体" w:cs="宋体"/>
          <w:sz w:val="24"/>
        </w:rPr>
        <w:t>(具体参见设计图纸和工程量清单</w:t>
      </w:r>
      <w:r>
        <w:rPr>
          <w:rFonts w:ascii="宋体" w:hAnsi="宋体" w:cs="宋体"/>
          <w:sz w:val="24"/>
        </w:rPr>
        <w:t>)</w:t>
      </w:r>
      <w:r>
        <w:rPr>
          <w:rFonts w:hint="eastAsia" w:ascii="宋体" w:hAnsi="宋体" w:cs="宋体"/>
          <w:sz w:val="24"/>
        </w:rPr>
        <w:t>，按照发包人确认的</w:t>
      </w:r>
      <w:r>
        <w:rPr>
          <w:rFonts w:hint="eastAsia" w:ascii="宋体" w:hAnsi="宋体" w:cs="宋体"/>
          <w:sz w:val="24"/>
          <w:lang w:val="en-US" w:eastAsia="zh-CN"/>
        </w:rPr>
        <w:t>电力</w:t>
      </w:r>
      <w:r>
        <w:rPr>
          <w:rFonts w:hint="eastAsia" w:ascii="宋体" w:hAnsi="宋体" w:cs="宋体"/>
          <w:sz w:val="24"/>
        </w:rPr>
        <w:t>图纸及国家规程要求，完成全部</w:t>
      </w:r>
      <w:r>
        <w:rPr>
          <w:rFonts w:hint="eastAsia" w:ascii="宋体" w:hAnsi="宋体" w:cs="宋体"/>
          <w:sz w:val="24"/>
          <w:lang w:val="en-US" w:eastAsia="zh-CN"/>
        </w:rPr>
        <w:t>电力</w:t>
      </w:r>
      <w:r>
        <w:rPr>
          <w:rFonts w:hint="eastAsia" w:ascii="宋体" w:hAnsi="宋体" w:cs="宋体"/>
          <w:sz w:val="24"/>
        </w:rPr>
        <w:t>图纸范围内的供应、运输、安装、检验试验、验收和保修等各项工作，具体工作</w:t>
      </w:r>
      <w:r>
        <w:rPr>
          <w:rFonts w:hint="eastAsia" w:ascii="宋体" w:hAnsi="宋体" w:eastAsia="宋体" w:cs="宋体"/>
          <w:sz w:val="24"/>
        </w:rPr>
        <w:t>包括不限于以下工程内容</w:t>
      </w:r>
      <w:r>
        <w:rPr>
          <w:rFonts w:hint="eastAsia" w:ascii="宋体" w:hAnsi="宋体" w:cs="宋体"/>
          <w:sz w:val="24"/>
        </w:rPr>
        <w:t>：</w:t>
      </w:r>
    </w:p>
    <w:p>
      <w:pPr>
        <w:spacing w:line="440" w:lineRule="exact"/>
        <w:ind w:firstLine="480" w:firstLineChars="200"/>
        <w:rPr>
          <w:rFonts w:ascii="宋体" w:hAnsi="宋体" w:cs="宋体"/>
          <w:sz w:val="24"/>
        </w:rPr>
      </w:pPr>
      <w:bookmarkStart w:id="2" w:name="OLE_LINK34"/>
      <w:bookmarkStart w:id="3" w:name="OLE_LINK33"/>
      <w:r>
        <w:rPr>
          <w:rFonts w:hint="eastAsia" w:ascii="宋体" w:hAnsi="宋体" w:cs="宋体"/>
          <w:bCs/>
          <w:sz w:val="24"/>
          <w:lang w:val="en-US" w:eastAsia="zh-CN"/>
        </w:rPr>
        <w:t>1、</w:t>
      </w:r>
      <w:r>
        <w:rPr>
          <w:rFonts w:ascii="宋体" w:hAnsi="宋体" w:cs="宋体"/>
          <w:bCs/>
          <w:sz w:val="24"/>
        </w:rPr>
        <w:t>根据招标文件、招标图纸、有关资料及说明的</w:t>
      </w:r>
      <w:r>
        <w:rPr>
          <w:rFonts w:hint="eastAsia" w:ascii="宋体" w:hAnsi="宋体" w:cs="宋体"/>
          <w:bCs/>
          <w:sz w:val="24"/>
          <w:lang w:val="en-US" w:eastAsia="zh-CN"/>
        </w:rPr>
        <w:t>工业用电</w:t>
      </w:r>
      <w:r>
        <w:rPr>
          <w:rFonts w:ascii="宋体" w:hAnsi="宋体" w:cs="宋体"/>
          <w:bCs/>
          <w:sz w:val="24"/>
        </w:rPr>
        <w:t>工程，包括但不限于</w:t>
      </w:r>
      <w:r>
        <w:rPr>
          <w:rFonts w:hint="eastAsia" w:ascii="宋体" w:hAnsi="宋体"/>
          <w:sz w:val="24"/>
        </w:rPr>
        <w:t>配电柜</w:t>
      </w:r>
      <w:r>
        <w:rPr>
          <w:rFonts w:hint="eastAsia" w:ascii="宋体" w:hAnsi="宋体"/>
          <w:sz w:val="24"/>
          <w:lang w:val="en-US" w:eastAsia="zh-CN"/>
        </w:rPr>
        <w:t>安装</w:t>
      </w:r>
      <w:r>
        <w:rPr>
          <w:rFonts w:hint="eastAsia" w:ascii="宋体" w:hAnsi="宋体"/>
          <w:sz w:val="24"/>
        </w:rPr>
        <w:t>，</w:t>
      </w:r>
      <w:r>
        <w:rPr>
          <w:rFonts w:hint="eastAsia" w:ascii="宋体" w:hAnsi="宋体"/>
          <w:sz w:val="24"/>
          <w:lang w:val="en-US" w:eastAsia="zh-CN"/>
        </w:rPr>
        <w:t>母线架设、行车电源接入、电缆铺设、配电房配套工程等，</w:t>
      </w:r>
      <w:r>
        <w:rPr>
          <w:rFonts w:hint="eastAsia" w:ascii="宋体" w:hAnsi="宋体"/>
          <w:sz w:val="24"/>
        </w:rPr>
        <w:t>，投标方需负责所有设备、材料（包括但不限于清单内以及招标方负责）的二次搬运及安装整体项目的通电调试及验收工作。</w:t>
      </w:r>
      <w:r>
        <w:rPr>
          <w:rFonts w:ascii="宋体" w:hAnsi="宋体" w:cs="宋体"/>
          <w:bCs/>
          <w:sz w:val="24"/>
        </w:rPr>
        <w:t>包工、包料、包工期、包质量、</w:t>
      </w:r>
      <w:r>
        <w:rPr>
          <w:rFonts w:hint="eastAsia" w:ascii="宋体" w:hAnsi="宋体" w:cs="宋体"/>
          <w:bCs/>
          <w:sz w:val="24"/>
        </w:rPr>
        <w:t>包资料、</w:t>
      </w:r>
      <w:r>
        <w:rPr>
          <w:rFonts w:ascii="宋体" w:hAnsi="宋体" w:cs="宋体"/>
          <w:bCs/>
          <w:sz w:val="24"/>
        </w:rPr>
        <w:t>包安全生产及文明施工等措施、包组织竣工验收</w:t>
      </w:r>
      <w:r>
        <w:rPr>
          <w:rFonts w:hint="eastAsia" w:ascii="宋体" w:hAnsi="宋体" w:cs="宋体"/>
          <w:bCs/>
          <w:sz w:val="24"/>
        </w:rPr>
        <w:t>、</w:t>
      </w:r>
      <w:r>
        <w:rPr>
          <w:rFonts w:ascii="宋体" w:hAnsi="宋体" w:cs="宋体"/>
          <w:bCs/>
          <w:sz w:val="24"/>
        </w:rPr>
        <w:t>移交及后续结算资料整理提交等工作。</w:t>
      </w:r>
    </w:p>
    <w:bookmarkEnd w:id="2"/>
    <w:bookmarkEnd w:id="3"/>
    <w:p>
      <w:pPr>
        <w:spacing w:line="440" w:lineRule="exact"/>
        <w:ind w:firstLine="480" w:firstLineChars="200"/>
        <w:rPr>
          <w:rFonts w:ascii="宋体" w:hAnsi="宋体" w:cs="宋体"/>
          <w:bCs/>
          <w:sz w:val="24"/>
        </w:rPr>
      </w:pPr>
      <w:r>
        <w:rPr>
          <w:rFonts w:hint="eastAsia" w:ascii="宋体" w:hAnsi="宋体" w:cs="宋体"/>
          <w:bCs/>
          <w:sz w:val="24"/>
          <w:lang w:val="en-US" w:eastAsia="zh-CN"/>
        </w:rPr>
        <w:t>2</w:t>
      </w:r>
      <w:r>
        <w:rPr>
          <w:rFonts w:hint="eastAsia" w:ascii="宋体" w:hAnsi="宋体" w:cs="宋体"/>
          <w:bCs/>
          <w:sz w:val="24"/>
        </w:rPr>
        <w:t>、整体保洁费用。</w:t>
      </w:r>
    </w:p>
    <w:p>
      <w:pPr>
        <w:spacing w:line="440" w:lineRule="exact"/>
        <w:ind w:firstLine="480" w:firstLineChars="200"/>
        <w:rPr>
          <w:rFonts w:ascii="宋体" w:hAnsi="宋体" w:cs="宋体"/>
          <w:bCs/>
          <w:sz w:val="24"/>
        </w:rPr>
      </w:pPr>
      <w:r>
        <w:rPr>
          <w:rFonts w:hint="eastAsia" w:ascii="宋体" w:hAnsi="宋体" w:cs="宋体"/>
          <w:bCs/>
          <w:sz w:val="24"/>
          <w:lang w:val="en-US" w:eastAsia="zh-CN"/>
        </w:rPr>
        <w:t>3</w:t>
      </w:r>
      <w:r>
        <w:rPr>
          <w:rFonts w:hint="eastAsia" w:ascii="宋体" w:hAnsi="宋体" w:cs="宋体"/>
          <w:bCs/>
          <w:sz w:val="24"/>
        </w:rPr>
        <w:t>、后期质量维保工作。</w:t>
      </w:r>
    </w:p>
    <w:p>
      <w:pPr>
        <w:spacing w:line="440" w:lineRule="exact"/>
        <w:ind w:firstLine="480" w:firstLineChars="200"/>
        <w:rPr>
          <w:rFonts w:ascii="宋体" w:hAnsi="宋体" w:cs="宋体"/>
          <w:bCs/>
          <w:sz w:val="24"/>
        </w:rPr>
      </w:pPr>
      <w:r>
        <w:rPr>
          <w:rFonts w:hint="eastAsia" w:ascii="宋体" w:hAnsi="宋体" w:cs="宋体"/>
          <w:bCs/>
          <w:sz w:val="24"/>
          <w:lang w:val="en-US" w:eastAsia="zh-CN"/>
        </w:rPr>
        <w:t>4</w:t>
      </w:r>
      <w:r>
        <w:rPr>
          <w:rFonts w:hint="eastAsia" w:ascii="宋体" w:hAnsi="宋体" w:cs="宋体"/>
          <w:bCs/>
          <w:sz w:val="24"/>
        </w:rPr>
        <w:t>、按要求提供相关备品备件。</w:t>
      </w:r>
    </w:p>
    <w:p>
      <w:pPr>
        <w:pStyle w:val="22"/>
        <w:numPr>
          <w:ilvl w:val="0"/>
          <w:numId w:val="4"/>
        </w:numPr>
        <w:autoSpaceDE w:val="0"/>
        <w:autoSpaceDN w:val="0"/>
        <w:adjustRightInd w:val="0"/>
        <w:snapToGrid w:val="0"/>
        <w:spacing w:line="440" w:lineRule="exact"/>
        <w:ind w:firstLineChars="0"/>
        <w:jc w:val="left"/>
        <w:outlineLvl w:val="0"/>
        <w:rPr>
          <w:rFonts w:ascii="宋体" w:hAnsi="宋体" w:eastAsia="宋体" w:cs="宋体"/>
          <w:b/>
          <w:bCs/>
          <w:sz w:val="24"/>
        </w:rPr>
      </w:pPr>
      <w:r>
        <w:rPr>
          <w:rFonts w:hint="eastAsia" w:ascii="宋体" w:hAnsi="宋体" w:eastAsia="宋体" w:cs="宋体"/>
          <w:b/>
          <w:bCs/>
          <w:sz w:val="24"/>
        </w:rPr>
        <w:t>施工界面划分标准：</w:t>
      </w:r>
    </w:p>
    <w:p>
      <w:pPr>
        <w:pStyle w:val="22"/>
        <w:numPr>
          <w:ilvl w:val="1"/>
          <w:numId w:val="4"/>
        </w:numPr>
        <w:autoSpaceDE w:val="0"/>
        <w:autoSpaceDN w:val="0"/>
        <w:adjustRightInd w:val="0"/>
        <w:snapToGrid w:val="0"/>
        <w:spacing w:line="440" w:lineRule="exact"/>
        <w:ind w:firstLineChars="0"/>
        <w:jc w:val="left"/>
        <w:rPr>
          <w:rFonts w:ascii="宋体" w:hAnsi="宋体" w:eastAsia="宋体" w:cs="宋体"/>
          <w:sz w:val="24"/>
          <w:u w:val="single"/>
        </w:rPr>
      </w:pPr>
      <w:r>
        <w:rPr>
          <w:rFonts w:hint="eastAsia" w:ascii="宋体" w:hAnsi="宋体" w:eastAsia="宋体" w:cs="宋体"/>
          <w:b/>
          <w:bCs/>
          <w:sz w:val="24"/>
        </w:rPr>
        <w:t>场地现状：</w:t>
      </w:r>
      <w:r>
        <w:rPr>
          <w:rFonts w:hint="eastAsia" w:ascii="宋体" w:hAnsi="宋体" w:eastAsia="宋体" w:cs="宋体"/>
          <w:sz w:val="24"/>
        </w:rPr>
        <w:t>由投标单位进行现场探勘及现状移交；</w:t>
      </w:r>
    </w:p>
    <w:p>
      <w:pPr>
        <w:pStyle w:val="22"/>
        <w:numPr>
          <w:ilvl w:val="1"/>
          <w:numId w:val="4"/>
        </w:numPr>
        <w:autoSpaceDE w:val="0"/>
        <w:autoSpaceDN w:val="0"/>
        <w:adjustRightInd w:val="0"/>
        <w:snapToGrid w:val="0"/>
        <w:spacing w:line="440" w:lineRule="exact"/>
        <w:ind w:firstLineChars="0"/>
        <w:jc w:val="left"/>
        <w:rPr>
          <w:rFonts w:ascii="宋体" w:hAnsi="宋体" w:eastAsia="宋体" w:cs="宋体"/>
          <w:sz w:val="24"/>
        </w:rPr>
      </w:pPr>
      <w:r>
        <w:rPr>
          <w:rFonts w:hint="eastAsia" w:ascii="宋体" w:hAnsi="宋体" w:eastAsia="宋体" w:cs="宋体"/>
          <w:b/>
          <w:bCs/>
          <w:sz w:val="24"/>
        </w:rPr>
        <w:t>工作界面划分：</w:t>
      </w:r>
    </w:p>
    <w:p>
      <w:pPr>
        <w:autoSpaceDE w:val="0"/>
        <w:autoSpaceDN w:val="0"/>
        <w:adjustRightInd w:val="0"/>
        <w:snapToGrid w:val="0"/>
        <w:spacing w:line="440" w:lineRule="exact"/>
        <w:ind w:firstLine="480" w:firstLineChars="200"/>
        <w:jc w:val="left"/>
        <w:rPr>
          <w:rFonts w:ascii="宋体" w:hAnsi="宋体" w:eastAsia="宋体" w:cs="宋体"/>
          <w:sz w:val="24"/>
        </w:rPr>
      </w:pPr>
      <w:r>
        <w:rPr>
          <w:rFonts w:hint="eastAsia" w:ascii="宋体" w:hAnsi="宋体" w:cs="宋体"/>
          <w:color w:val="000000"/>
          <w:sz w:val="24"/>
          <w:lang w:val="en-US" w:eastAsia="zh-CN"/>
        </w:rPr>
        <w:t>工业用电</w:t>
      </w:r>
      <w:r>
        <w:rPr>
          <w:rFonts w:hint="eastAsia" w:ascii="宋体" w:hAnsi="宋体" w:cs="宋体"/>
          <w:color w:val="000000"/>
          <w:sz w:val="24"/>
        </w:rPr>
        <w:t>承建商与总包之间的工作界面划分：</w:t>
      </w:r>
    </w:p>
    <w:p>
      <w:pPr>
        <w:spacing w:line="440" w:lineRule="exact"/>
        <w:jc w:val="left"/>
        <w:rPr>
          <w:rFonts w:hint="default" w:ascii="宋体" w:hAnsi="宋体" w:cs="宋体"/>
          <w:color w:val="000000"/>
          <w:sz w:val="24"/>
          <w:lang w:val="en-US" w:eastAsia="zh-CN"/>
        </w:rPr>
      </w:pPr>
      <w:r>
        <w:rPr>
          <w:rFonts w:hint="eastAsia" w:ascii="宋体" w:hAnsi="宋体" w:cs="宋体"/>
          <w:color w:val="000000"/>
          <w:sz w:val="24"/>
          <w:lang w:val="en-US" w:eastAsia="zh-CN"/>
        </w:rPr>
        <w:t>2</w:t>
      </w:r>
      <w:r>
        <w:rPr>
          <w:rFonts w:ascii="宋体" w:hAnsi="宋体" w:cs="宋体"/>
          <w:color w:val="000000"/>
          <w:sz w:val="24"/>
        </w:rPr>
        <w:t>.1</w:t>
      </w:r>
      <w:r>
        <w:rPr>
          <w:rFonts w:hint="eastAsia" w:ascii="宋体" w:hAnsi="宋体" w:cs="宋体"/>
          <w:color w:val="000000"/>
          <w:sz w:val="24"/>
        </w:rPr>
        <w:t>总包方的工作：</w:t>
      </w:r>
      <w:r>
        <w:rPr>
          <w:rFonts w:hint="eastAsia" w:ascii="宋体" w:hAnsi="宋体" w:cs="宋体"/>
          <w:color w:val="000000"/>
          <w:sz w:val="24"/>
          <w:lang w:val="en-US" w:eastAsia="zh-CN"/>
        </w:rPr>
        <w:t>钢构厂房施工、辅助办公楼、配电房土建结构施工。</w:t>
      </w:r>
    </w:p>
    <w:p>
      <w:pPr>
        <w:autoSpaceDE w:val="0"/>
        <w:autoSpaceDN w:val="0"/>
        <w:adjustRightInd w:val="0"/>
        <w:snapToGrid w:val="0"/>
        <w:spacing w:line="440" w:lineRule="exact"/>
        <w:jc w:val="left"/>
        <w:rPr>
          <w:rFonts w:ascii="宋体" w:hAnsi="宋体" w:eastAsia="宋体" w:cs="宋体"/>
          <w:sz w:val="24"/>
        </w:rPr>
      </w:pPr>
      <w:r>
        <w:rPr>
          <w:rFonts w:hint="eastAsia" w:ascii="宋体" w:hAnsi="宋体" w:cs="宋体"/>
          <w:color w:val="000000"/>
          <w:sz w:val="24"/>
          <w:lang w:val="en-US" w:eastAsia="zh-CN"/>
        </w:rPr>
        <w:t>2</w:t>
      </w:r>
      <w:r>
        <w:rPr>
          <w:rFonts w:ascii="宋体" w:hAnsi="宋体" w:cs="宋体"/>
          <w:color w:val="000000"/>
          <w:sz w:val="24"/>
        </w:rPr>
        <w:t>.2</w:t>
      </w:r>
      <w:r>
        <w:rPr>
          <w:rFonts w:hint="eastAsia" w:ascii="宋体" w:hAnsi="宋体" w:cs="宋体"/>
          <w:color w:val="000000"/>
          <w:sz w:val="24"/>
          <w:lang w:val="en-US" w:eastAsia="zh-CN"/>
        </w:rPr>
        <w:t>电力</w:t>
      </w:r>
      <w:r>
        <w:rPr>
          <w:rFonts w:hint="eastAsia" w:ascii="宋体" w:hAnsi="宋体" w:cs="宋体"/>
          <w:color w:val="000000"/>
          <w:sz w:val="24"/>
        </w:rPr>
        <w:t>承建商的工作：负责</w:t>
      </w:r>
      <w:r>
        <w:rPr>
          <w:rFonts w:hint="eastAsia" w:ascii="宋体" w:hAnsi="宋体" w:cs="宋体"/>
          <w:color w:val="000000"/>
          <w:sz w:val="24"/>
          <w:lang w:val="en-US" w:eastAsia="zh-CN"/>
        </w:rPr>
        <w:t>配电房电缆沟、高低压配电柜、外接电缆、电缆井、厂房内母线电缆安装、动力柜安装、桥架安装等施工。</w:t>
      </w:r>
    </w:p>
    <w:p>
      <w:pPr>
        <w:pStyle w:val="22"/>
        <w:numPr>
          <w:ilvl w:val="1"/>
          <w:numId w:val="4"/>
        </w:numPr>
        <w:autoSpaceDE w:val="0"/>
        <w:autoSpaceDN w:val="0"/>
        <w:adjustRightInd w:val="0"/>
        <w:snapToGrid w:val="0"/>
        <w:spacing w:line="440" w:lineRule="exact"/>
        <w:ind w:firstLineChars="0"/>
        <w:jc w:val="left"/>
        <w:rPr>
          <w:rFonts w:ascii="宋体" w:hAnsi="宋体" w:eastAsia="宋体" w:cs="宋体"/>
          <w:sz w:val="24"/>
        </w:rPr>
      </w:pPr>
      <w:r>
        <w:rPr>
          <w:rFonts w:hint="eastAsia" w:ascii="宋体" w:hAnsi="宋体" w:eastAsia="宋体" w:cs="宋体"/>
          <w:b/>
          <w:bCs/>
          <w:sz w:val="24"/>
        </w:rPr>
        <w:t>项目临建：</w:t>
      </w:r>
    </w:p>
    <w:p>
      <w:pPr>
        <w:autoSpaceDE w:val="0"/>
        <w:autoSpaceDN w:val="0"/>
        <w:adjustRightInd w:val="0"/>
        <w:snapToGrid w:val="0"/>
        <w:spacing w:line="440" w:lineRule="exact"/>
        <w:ind w:firstLine="480" w:firstLineChars="200"/>
        <w:jc w:val="left"/>
        <w:rPr>
          <w:rFonts w:ascii="宋体" w:hAnsi="宋体" w:eastAsia="宋体" w:cs="宋体"/>
          <w:sz w:val="24"/>
        </w:rPr>
      </w:pPr>
      <w:r>
        <w:rPr>
          <w:rFonts w:hint="eastAsia" w:ascii="宋体" w:hAnsi="宋体" w:cs="宋体"/>
          <w:sz w:val="24"/>
          <w:lang w:val="en-US" w:eastAsia="zh-CN"/>
        </w:rPr>
        <w:t>3.1</w:t>
      </w:r>
      <w:r>
        <w:rPr>
          <w:rFonts w:hint="eastAsia" w:ascii="宋体" w:hAnsi="宋体" w:eastAsia="宋体" w:cs="宋体"/>
          <w:sz w:val="24"/>
        </w:rPr>
        <w:t>承包人现场劳动力管理：任何时间内，现场劳动力不得随意穿行及其他市政道路，不得进入非施工区域。劳动力转运应采用客运汽车进行接驳。</w:t>
      </w:r>
    </w:p>
    <w:p>
      <w:pPr>
        <w:pStyle w:val="22"/>
        <w:numPr>
          <w:ilvl w:val="1"/>
          <w:numId w:val="4"/>
        </w:numPr>
        <w:autoSpaceDE w:val="0"/>
        <w:autoSpaceDN w:val="0"/>
        <w:adjustRightInd w:val="0"/>
        <w:snapToGrid w:val="0"/>
        <w:spacing w:line="440" w:lineRule="exact"/>
        <w:ind w:firstLineChars="0"/>
        <w:jc w:val="left"/>
        <w:rPr>
          <w:rFonts w:ascii="宋体" w:hAnsi="宋体" w:eastAsia="宋体" w:cs="宋体"/>
          <w:sz w:val="24"/>
        </w:rPr>
      </w:pPr>
      <w:r>
        <w:rPr>
          <w:rFonts w:hint="eastAsia" w:ascii="宋体" w:hAnsi="宋体" w:eastAsia="宋体" w:cs="宋体"/>
          <w:b/>
          <w:sz w:val="24"/>
        </w:rPr>
        <w:t>临电、临水接入点：</w:t>
      </w:r>
      <w:r>
        <w:rPr>
          <w:rFonts w:hint="eastAsia" w:ascii="宋体" w:hAnsi="宋体" w:eastAsia="宋体" w:cs="宋体"/>
          <w:sz w:val="24"/>
        </w:rPr>
        <w:t>接入点位置及布置见如下（</w:t>
      </w:r>
      <w:r>
        <w:rPr>
          <w:rFonts w:hint="eastAsia" w:ascii="宋体" w:hAnsi="宋体" w:eastAsia="宋体" w:cs="宋体"/>
          <w:color w:val="FF0000"/>
          <w:sz w:val="24"/>
        </w:rPr>
        <w:t>现场提供民用电和工业用电接入点，由承包人自行选择，由承包人安装电表</w:t>
      </w:r>
      <w:r>
        <w:rPr>
          <w:rFonts w:hint="eastAsia" w:ascii="宋体" w:hAnsi="宋体" w:eastAsia="宋体" w:cs="宋体"/>
          <w:sz w:val="24"/>
        </w:rPr>
        <w:t>）</w:t>
      </w:r>
      <w:r>
        <w:rPr>
          <w:rFonts w:ascii="宋体" w:hAnsi="宋体" w:eastAsia="宋体" w:cs="宋体"/>
          <w:sz w:val="24"/>
        </w:rPr>
        <w:t>。</w:t>
      </w:r>
    </w:p>
    <w:p>
      <w:pPr>
        <w:autoSpaceDE w:val="0"/>
        <w:autoSpaceDN w:val="0"/>
        <w:adjustRightInd w:val="0"/>
        <w:snapToGrid w:val="0"/>
        <w:spacing w:line="440" w:lineRule="exact"/>
        <w:jc w:val="left"/>
        <w:rPr>
          <w:rFonts w:ascii="宋体" w:hAnsi="宋体" w:eastAsia="宋体" w:cs="宋体"/>
          <w:sz w:val="24"/>
        </w:rPr>
      </w:pPr>
      <w:r>
        <w:rPr>
          <w:rFonts w:hint="eastAsia" w:ascii="宋体" w:hAnsi="宋体" w:eastAsia="宋体" w:cs="宋体"/>
          <w:kern w:val="2"/>
          <w:sz w:val="24"/>
          <w:szCs w:val="24"/>
          <w:lang w:val="en-US" w:eastAsia="zh-CN" w:bidi="ar-SA"/>
        </w:rPr>
        <w:pict>
          <v:shape id="图片 7" o:spid="_x0000_s1026" type="#_x0000_t75" style="position:absolute;left:0;margin-left:31.15pt;margin-top:11.9pt;height:274pt;width:322.1pt;rotation:0f;z-index:251658240;" o:ole="f" fillcolor="#FFFFFF" filled="f" o:preferrelative="t" stroked="f" coordorigin="0,0" coordsize="21600,21600">
            <v:fill on="f" color2="#FFFFFF" focus="0%"/>
            <v:imagedata gain="65536f" blacklevel="0f" gamma="0" o:title="" r:id="rId6"/>
            <o:lock v:ext="edit" position="f" selection="f" grouping="f" rotation="f" cropping="f" text="f" aspectratio="t"/>
          </v:shape>
        </w:pict>
      </w:r>
    </w:p>
    <w:p>
      <w:pPr>
        <w:autoSpaceDE w:val="0"/>
        <w:autoSpaceDN w:val="0"/>
        <w:adjustRightInd w:val="0"/>
        <w:snapToGrid w:val="0"/>
        <w:spacing w:line="440" w:lineRule="exact"/>
        <w:jc w:val="left"/>
        <w:rPr>
          <w:rFonts w:ascii="宋体" w:hAnsi="宋体" w:eastAsia="宋体" w:cs="宋体"/>
          <w:sz w:val="24"/>
        </w:rPr>
      </w:pPr>
    </w:p>
    <w:p>
      <w:pPr>
        <w:autoSpaceDE w:val="0"/>
        <w:autoSpaceDN w:val="0"/>
        <w:adjustRightInd w:val="0"/>
        <w:snapToGrid w:val="0"/>
        <w:spacing w:line="440" w:lineRule="exact"/>
        <w:jc w:val="left"/>
        <w:rPr>
          <w:rFonts w:ascii="宋体" w:hAnsi="宋体" w:eastAsia="宋体" w:cs="宋体"/>
          <w:sz w:val="24"/>
        </w:rPr>
      </w:pPr>
    </w:p>
    <w:p>
      <w:pPr>
        <w:autoSpaceDE w:val="0"/>
        <w:autoSpaceDN w:val="0"/>
        <w:adjustRightInd w:val="0"/>
        <w:snapToGrid w:val="0"/>
        <w:spacing w:line="440" w:lineRule="exact"/>
        <w:jc w:val="left"/>
        <w:rPr>
          <w:rFonts w:ascii="宋体" w:hAnsi="宋体" w:eastAsia="宋体" w:cs="宋体"/>
          <w:sz w:val="24"/>
        </w:rPr>
      </w:pPr>
    </w:p>
    <w:p>
      <w:pPr>
        <w:autoSpaceDE w:val="0"/>
        <w:autoSpaceDN w:val="0"/>
        <w:adjustRightInd w:val="0"/>
        <w:snapToGrid w:val="0"/>
        <w:spacing w:line="440" w:lineRule="exact"/>
        <w:jc w:val="left"/>
        <w:rPr>
          <w:rFonts w:ascii="宋体" w:hAnsi="宋体" w:eastAsia="宋体" w:cs="宋体"/>
          <w:sz w:val="24"/>
        </w:rPr>
      </w:pPr>
    </w:p>
    <w:p>
      <w:pPr>
        <w:autoSpaceDE w:val="0"/>
        <w:autoSpaceDN w:val="0"/>
        <w:adjustRightInd w:val="0"/>
        <w:snapToGrid w:val="0"/>
        <w:spacing w:line="440" w:lineRule="exact"/>
        <w:jc w:val="left"/>
        <w:rPr>
          <w:rFonts w:ascii="宋体" w:hAnsi="宋体" w:eastAsia="宋体" w:cs="宋体"/>
          <w:sz w:val="24"/>
        </w:rPr>
      </w:pPr>
    </w:p>
    <w:p>
      <w:pPr>
        <w:autoSpaceDE w:val="0"/>
        <w:autoSpaceDN w:val="0"/>
        <w:adjustRightInd w:val="0"/>
        <w:snapToGrid w:val="0"/>
        <w:spacing w:line="440" w:lineRule="exact"/>
        <w:jc w:val="left"/>
        <w:rPr>
          <w:rFonts w:ascii="宋体" w:hAnsi="宋体" w:eastAsia="宋体" w:cs="宋体"/>
          <w:sz w:val="24"/>
        </w:rPr>
      </w:pPr>
    </w:p>
    <w:p>
      <w:pPr>
        <w:autoSpaceDE w:val="0"/>
        <w:autoSpaceDN w:val="0"/>
        <w:adjustRightInd w:val="0"/>
        <w:snapToGrid w:val="0"/>
        <w:spacing w:line="440" w:lineRule="exact"/>
        <w:jc w:val="left"/>
        <w:rPr>
          <w:rFonts w:ascii="宋体" w:hAnsi="宋体" w:eastAsia="宋体" w:cs="宋体"/>
          <w:sz w:val="24"/>
        </w:rPr>
      </w:pPr>
    </w:p>
    <w:p>
      <w:pPr>
        <w:autoSpaceDE w:val="0"/>
        <w:autoSpaceDN w:val="0"/>
        <w:adjustRightInd w:val="0"/>
        <w:snapToGrid w:val="0"/>
        <w:spacing w:line="440" w:lineRule="exact"/>
        <w:jc w:val="left"/>
        <w:rPr>
          <w:rFonts w:ascii="宋体" w:hAnsi="宋体" w:eastAsia="宋体" w:cs="宋体"/>
          <w:sz w:val="24"/>
        </w:rPr>
      </w:pPr>
    </w:p>
    <w:p>
      <w:pPr>
        <w:autoSpaceDE w:val="0"/>
        <w:autoSpaceDN w:val="0"/>
        <w:adjustRightInd w:val="0"/>
        <w:snapToGrid w:val="0"/>
        <w:spacing w:line="440" w:lineRule="exact"/>
        <w:jc w:val="left"/>
        <w:rPr>
          <w:rFonts w:ascii="宋体" w:hAnsi="宋体" w:eastAsia="宋体" w:cs="宋体"/>
          <w:sz w:val="24"/>
        </w:rPr>
      </w:pPr>
    </w:p>
    <w:p>
      <w:pPr>
        <w:autoSpaceDE w:val="0"/>
        <w:autoSpaceDN w:val="0"/>
        <w:adjustRightInd w:val="0"/>
        <w:snapToGrid w:val="0"/>
        <w:spacing w:line="440" w:lineRule="exact"/>
        <w:jc w:val="left"/>
        <w:rPr>
          <w:rFonts w:ascii="宋体" w:hAnsi="宋体" w:eastAsia="宋体" w:cs="宋体"/>
          <w:sz w:val="24"/>
        </w:rPr>
      </w:pPr>
    </w:p>
    <w:p>
      <w:pPr>
        <w:autoSpaceDE w:val="0"/>
        <w:autoSpaceDN w:val="0"/>
        <w:adjustRightInd w:val="0"/>
        <w:snapToGrid w:val="0"/>
        <w:spacing w:line="440" w:lineRule="exact"/>
        <w:jc w:val="left"/>
        <w:rPr>
          <w:rFonts w:ascii="宋体" w:hAnsi="宋体" w:eastAsia="宋体" w:cs="宋体"/>
          <w:sz w:val="24"/>
        </w:rPr>
      </w:pPr>
    </w:p>
    <w:p>
      <w:pPr>
        <w:autoSpaceDE w:val="0"/>
        <w:autoSpaceDN w:val="0"/>
        <w:adjustRightInd w:val="0"/>
        <w:snapToGrid w:val="0"/>
        <w:spacing w:line="440" w:lineRule="exact"/>
        <w:jc w:val="left"/>
        <w:rPr>
          <w:rFonts w:ascii="宋体" w:hAnsi="宋体" w:eastAsia="宋体" w:cs="宋体"/>
          <w:sz w:val="24"/>
        </w:rPr>
      </w:pPr>
    </w:p>
    <w:p>
      <w:pPr>
        <w:autoSpaceDE w:val="0"/>
        <w:autoSpaceDN w:val="0"/>
        <w:adjustRightInd w:val="0"/>
        <w:snapToGrid w:val="0"/>
        <w:spacing w:line="440" w:lineRule="exact"/>
        <w:jc w:val="left"/>
        <w:rPr>
          <w:rFonts w:ascii="宋体" w:hAnsi="宋体" w:eastAsia="宋体" w:cs="宋体"/>
          <w:sz w:val="24"/>
        </w:rPr>
      </w:pPr>
    </w:p>
    <w:p>
      <w:pPr>
        <w:pStyle w:val="22"/>
        <w:numPr>
          <w:ilvl w:val="1"/>
          <w:numId w:val="4"/>
        </w:numPr>
        <w:autoSpaceDE w:val="0"/>
        <w:autoSpaceDN w:val="0"/>
        <w:adjustRightInd w:val="0"/>
        <w:snapToGrid w:val="0"/>
        <w:spacing w:line="440" w:lineRule="exact"/>
        <w:ind w:firstLineChars="0"/>
        <w:jc w:val="left"/>
        <w:rPr>
          <w:rFonts w:ascii="宋体" w:hAnsi="宋体" w:eastAsia="宋体" w:cs="宋体"/>
          <w:color w:val="auto"/>
          <w:sz w:val="24"/>
        </w:rPr>
      </w:pPr>
      <w:r>
        <w:rPr>
          <w:rFonts w:hint="eastAsia" w:ascii="宋体" w:hAnsi="宋体" w:eastAsia="宋体" w:cs="宋体"/>
          <w:b/>
          <w:sz w:val="24"/>
        </w:rPr>
        <w:t>项目临电/临水接入说明：</w:t>
      </w:r>
      <w:r>
        <w:rPr>
          <w:rFonts w:hint="eastAsia" w:ascii="宋体" w:hAnsi="宋体" w:eastAsia="宋体" w:cs="宋体"/>
          <w:sz w:val="24"/>
        </w:rPr>
        <w:t>从示意图中选择取电点，由承包人做配电箱及拉线，承包人自行完成临时用电施工费（含设备费用）、拆除费、试验检测费、协调费用等由承包人承担。临时用电电费按政府收费标准计取，每月由承包人直接向园区缴纳。项目临水：施工临时用水需自行协商从园区管路取水，按政府收费标准计取，每月由承包人直接向园区缴纳。</w:t>
      </w:r>
      <w:r>
        <w:rPr>
          <w:rFonts w:hint="eastAsia" w:ascii="宋体" w:hAnsi="宋体" w:eastAsia="宋体" w:cs="宋体"/>
          <w:color w:val="auto"/>
          <w:sz w:val="24"/>
        </w:rPr>
        <w:t>或承包人主动与厂房建设施工总承包协商，双方达成一致后从对方水电接入点进行接驳。</w:t>
      </w:r>
    </w:p>
    <w:p>
      <w:pPr>
        <w:pStyle w:val="22"/>
        <w:numPr>
          <w:ilvl w:val="1"/>
          <w:numId w:val="4"/>
        </w:numPr>
        <w:autoSpaceDE w:val="0"/>
        <w:autoSpaceDN w:val="0"/>
        <w:adjustRightInd w:val="0"/>
        <w:snapToGrid w:val="0"/>
        <w:spacing w:line="440" w:lineRule="exact"/>
        <w:ind w:firstLineChars="0"/>
        <w:jc w:val="left"/>
        <w:rPr>
          <w:rFonts w:ascii="宋体" w:hAnsi="宋体" w:eastAsia="宋体"/>
          <w:sz w:val="24"/>
        </w:rPr>
      </w:pPr>
      <w:r>
        <w:rPr>
          <w:rFonts w:hint="eastAsia" w:ascii="宋体" w:hAnsi="宋体" w:eastAsia="宋体"/>
          <w:sz w:val="24"/>
        </w:rPr>
        <w:t>施工单位进场则默认接收现场所有条件（含道路交通、临水临电、排水排污、场内布置及条件），后续不得以现场条件不足为理由要求增加费用。</w:t>
      </w:r>
    </w:p>
    <w:p>
      <w:pPr>
        <w:pStyle w:val="22"/>
        <w:numPr>
          <w:ilvl w:val="0"/>
          <w:numId w:val="4"/>
        </w:numPr>
        <w:autoSpaceDE w:val="0"/>
        <w:autoSpaceDN w:val="0"/>
        <w:adjustRightInd w:val="0"/>
        <w:snapToGrid w:val="0"/>
        <w:spacing w:line="440" w:lineRule="exact"/>
        <w:ind w:firstLineChars="0"/>
        <w:jc w:val="left"/>
        <w:outlineLvl w:val="0"/>
        <w:rPr>
          <w:rFonts w:ascii="宋体" w:hAnsi="宋体" w:eastAsia="宋体" w:cs="宋体"/>
          <w:b/>
          <w:bCs/>
          <w:sz w:val="24"/>
        </w:rPr>
      </w:pPr>
      <w:bookmarkStart w:id="4" w:name="_Toc5013"/>
      <w:r>
        <w:rPr>
          <w:rFonts w:hint="eastAsia" w:ascii="宋体" w:hAnsi="宋体" w:eastAsia="宋体" w:cs="宋体"/>
          <w:b/>
          <w:bCs/>
          <w:sz w:val="24"/>
        </w:rPr>
        <w:t>报批报建相关资料等要求</w:t>
      </w:r>
      <w:bookmarkEnd w:id="4"/>
    </w:p>
    <w:p>
      <w:pPr>
        <w:pStyle w:val="22"/>
        <w:numPr>
          <w:ilvl w:val="1"/>
          <w:numId w:val="4"/>
        </w:numPr>
        <w:autoSpaceDE w:val="0"/>
        <w:autoSpaceDN w:val="0"/>
        <w:adjustRightInd w:val="0"/>
        <w:snapToGrid w:val="0"/>
        <w:spacing w:line="440" w:lineRule="exact"/>
        <w:ind w:firstLineChars="0"/>
        <w:jc w:val="left"/>
        <w:rPr>
          <w:rFonts w:ascii="宋体" w:hAnsi="宋体" w:eastAsia="宋体" w:cs="宋体"/>
          <w:bCs/>
          <w:sz w:val="24"/>
        </w:rPr>
      </w:pPr>
      <w:bookmarkStart w:id="5" w:name="_Toc24458"/>
      <w:r>
        <w:rPr>
          <w:rFonts w:hint="eastAsia" w:ascii="宋体" w:hAnsi="宋体" w:eastAsia="宋体" w:cs="宋体"/>
          <w:bCs/>
          <w:sz w:val="24"/>
        </w:rPr>
        <w:t>承包方必须配合甲方、施工总承包单位及政府监管部门，按照要求办理相关的报规报建等工作（含质量监督、安全监督、质安监交底、资料整理、竣工验收等一系列手续）。</w:t>
      </w:r>
    </w:p>
    <w:p>
      <w:pPr>
        <w:pStyle w:val="22"/>
        <w:numPr>
          <w:ilvl w:val="0"/>
          <w:numId w:val="4"/>
        </w:numPr>
        <w:autoSpaceDE w:val="0"/>
        <w:autoSpaceDN w:val="0"/>
        <w:adjustRightInd w:val="0"/>
        <w:snapToGrid w:val="0"/>
        <w:spacing w:line="440" w:lineRule="exact"/>
        <w:ind w:firstLineChars="0"/>
        <w:jc w:val="left"/>
        <w:outlineLvl w:val="0"/>
        <w:rPr>
          <w:rFonts w:ascii="宋体" w:hAnsi="宋体" w:eastAsia="宋体"/>
          <w:b/>
          <w:bCs/>
          <w:sz w:val="24"/>
        </w:rPr>
      </w:pPr>
      <w:r>
        <w:rPr>
          <w:rFonts w:hint="eastAsia" w:ascii="宋体" w:hAnsi="宋体" w:eastAsia="宋体"/>
          <w:b/>
          <w:bCs/>
          <w:sz w:val="24"/>
        </w:rPr>
        <w:t>工期要求：</w:t>
      </w:r>
      <w:bookmarkEnd w:id="5"/>
    </w:p>
    <w:p>
      <w:pPr>
        <w:autoSpaceDE w:val="0"/>
        <w:autoSpaceDN w:val="0"/>
        <w:adjustRightInd w:val="0"/>
        <w:snapToGrid w:val="0"/>
        <w:spacing w:line="440" w:lineRule="exact"/>
        <w:ind w:firstLine="480" w:firstLineChars="200"/>
        <w:jc w:val="left"/>
        <w:rPr>
          <w:rFonts w:ascii="宋体" w:hAnsi="宋体" w:eastAsia="宋体"/>
          <w:bCs/>
          <w:sz w:val="24"/>
        </w:rPr>
      </w:pPr>
      <w:r>
        <w:rPr>
          <w:rFonts w:ascii="宋体" w:hAnsi="宋体" w:eastAsia="宋体"/>
          <w:bCs/>
          <w:sz w:val="24"/>
        </w:rPr>
        <w:t xml:space="preserve">1 </w:t>
      </w:r>
      <w:r>
        <w:rPr>
          <w:rFonts w:hint="eastAsia" w:ascii="宋体" w:hAnsi="宋体" w:eastAsia="宋体"/>
          <w:bCs/>
          <w:sz w:val="24"/>
        </w:rPr>
        <w:t>进场时间：以发包人下发的进场通知为准；</w:t>
      </w:r>
    </w:p>
    <w:p>
      <w:pPr>
        <w:autoSpaceDE w:val="0"/>
        <w:autoSpaceDN w:val="0"/>
        <w:adjustRightInd w:val="0"/>
        <w:snapToGrid w:val="0"/>
        <w:spacing w:line="440" w:lineRule="exact"/>
        <w:ind w:firstLine="480" w:firstLineChars="200"/>
        <w:jc w:val="left"/>
        <w:rPr>
          <w:rFonts w:ascii="宋体" w:hAnsi="宋体" w:eastAsia="宋体"/>
          <w:bCs/>
          <w:sz w:val="24"/>
        </w:rPr>
      </w:pPr>
      <w:r>
        <w:rPr>
          <w:rFonts w:ascii="宋体" w:hAnsi="宋体" w:eastAsia="宋体"/>
          <w:bCs/>
          <w:sz w:val="24"/>
        </w:rPr>
        <w:t xml:space="preserve">2 </w:t>
      </w:r>
      <w:r>
        <w:rPr>
          <w:rFonts w:hint="eastAsia" w:ascii="宋体" w:hAnsi="宋体" w:eastAsia="宋体"/>
          <w:bCs/>
          <w:sz w:val="24"/>
        </w:rPr>
        <w:t>工期要求</w:t>
      </w:r>
      <w:r>
        <w:rPr>
          <w:rFonts w:ascii="宋体" w:hAnsi="宋体" w:eastAsia="宋体"/>
          <w:bCs/>
          <w:sz w:val="24"/>
        </w:rPr>
        <w:t>：</w:t>
      </w:r>
      <w:r>
        <w:rPr>
          <w:rFonts w:hint="eastAsia" w:ascii="宋体" w:hAnsi="宋体" w:eastAsia="宋体"/>
          <w:bCs/>
          <w:color w:val="FF0000"/>
          <w:sz w:val="24"/>
          <w:u w:val="single"/>
        </w:rPr>
        <w:t>绝对工期</w:t>
      </w:r>
      <w:r>
        <w:rPr>
          <w:rFonts w:hint="eastAsia" w:ascii="宋体" w:hAnsi="宋体" w:eastAsia="宋体"/>
          <w:bCs/>
          <w:color w:val="FF0000"/>
          <w:sz w:val="24"/>
          <w:u w:val="single"/>
          <w:lang w:val="en-US" w:eastAsia="zh-CN"/>
        </w:rPr>
        <w:t>50</w:t>
      </w:r>
      <w:r>
        <w:rPr>
          <w:rFonts w:hint="eastAsia" w:ascii="宋体" w:hAnsi="宋体" w:eastAsia="宋体"/>
          <w:bCs/>
          <w:color w:val="FF0000"/>
          <w:sz w:val="24"/>
          <w:u w:val="single"/>
        </w:rPr>
        <w:t>天</w:t>
      </w:r>
      <w:r>
        <w:rPr>
          <w:rFonts w:hint="eastAsia" w:ascii="宋体" w:hAnsi="宋体" w:eastAsia="宋体"/>
          <w:bCs/>
          <w:sz w:val="24"/>
        </w:rPr>
        <w:t>。详见下表：</w:t>
      </w:r>
    </w:p>
    <w:p>
      <w:pPr>
        <w:autoSpaceDE w:val="0"/>
        <w:autoSpaceDN w:val="0"/>
        <w:adjustRightInd w:val="0"/>
        <w:snapToGrid w:val="0"/>
        <w:spacing w:line="440" w:lineRule="exact"/>
        <w:ind w:firstLine="960" w:firstLineChars="400"/>
        <w:jc w:val="left"/>
        <w:rPr>
          <w:rFonts w:ascii="宋体" w:hAnsi="宋体" w:eastAsia="宋体"/>
          <w:bCs/>
          <w:sz w:val="24"/>
        </w:rPr>
      </w:pPr>
      <w:r>
        <w:rPr>
          <w:rFonts w:hint="eastAsia" w:ascii="宋体" w:hAnsi="宋体" w:eastAsia="宋体"/>
          <w:bCs/>
          <w:sz w:val="24"/>
        </w:rPr>
        <w:t>2.1  计划开始时间：202</w:t>
      </w:r>
      <w:r>
        <w:rPr>
          <w:rFonts w:ascii="宋体" w:hAnsi="宋体" w:eastAsia="宋体"/>
          <w:bCs/>
          <w:sz w:val="24"/>
        </w:rPr>
        <w:t>4</w:t>
      </w:r>
      <w:r>
        <w:rPr>
          <w:rFonts w:hint="eastAsia" w:ascii="宋体" w:hAnsi="宋体" w:eastAsia="宋体"/>
          <w:bCs/>
          <w:sz w:val="24"/>
        </w:rPr>
        <w:t>年</w:t>
      </w:r>
      <w:r>
        <w:rPr>
          <w:rFonts w:hint="eastAsia" w:ascii="宋体" w:hAnsi="宋体" w:eastAsia="宋体"/>
          <w:bCs/>
          <w:sz w:val="24"/>
          <w:lang w:val="en-US" w:eastAsia="zh-CN"/>
        </w:rPr>
        <w:t>6</w:t>
      </w:r>
      <w:r>
        <w:rPr>
          <w:rFonts w:hint="eastAsia" w:ascii="宋体" w:hAnsi="宋体" w:eastAsia="宋体"/>
          <w:bCs/>
          <w:sz w:val="24"/>
        </w:rPr>
        <w:t>月</w:t>
      </w:r>
      <w:r>
        <w:rPr>
          <w:rFonts w:hint="eastAsia" w:ascii="宋体" w:hAnsi="宋体"/>
          <w:bCs/>
          <w:sz w:val="24"/>
          <w:lang w:val="en-US" w:eastAsia="zh-CN"/>
        </w:rPr>
        <w:t>20</w:t>
      </w:r>
      <w:r>
        <w:rPr>
          <w:rFonts w:hint="eastAsia" w:ascii="宋体" w:hAnsi="宋体" w:eastAsia="宋体"/>
          <w:bCs/>
          <w:sz w:val="24"/>
        </w:rPr>
        <w:t>日；（为暂定时间，以发包人开工令为准或根据实际情况确定安装工期，以确保不影响竣工验收为前提）；</w:t>
      </w:r>
      <w:r>
        <w:rPr>
          <w:rFonts w:ascii="宋体" w:hAnsi="宋体" w:eastAsia="宋体"/>
          <w:bCs/>
          <w:sz w:val="24"/>
        </w:rPr>
        <w:t xml:space="preserve"> </w:t>
      </w:r>
      <w:r>
        <w:rPr>
          <w:rFonts w:hint="eastAsia" w:ascii="宋体" w:hAnsi="宋体" w:eastAsia="宋体"/>
          <w:bCs/>
          <w:sz w:val="24"/>
        </w:rPr>
        <w:t>承包人需充分考虑各材料订货周期，无条件配合发包人按节点完成竣工验收（验收时间含在总工期内），否则由此造成的一切责任将由承包人负责。具体开工日期，以发包人签发的开工指令日期为准，绝对工期不予顺延。详见下表：</w:t>
      </w:r>
    </w:p>
    <w:tbl>
      <w:tblPr>
        <w:tblW w:w="8475" w:type="dxa"/>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
      <w:tblGrid>
        <w:gridCol w:w="525"/>
        <w:gridCol w:w="2042"/>
        <w:gridCol w:w="1276"/>
        <w:gridCol w:w="1134"/>
        <w:gridCol w:w="1417"/>
        <w:gridCol w:w="2081"/>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640" w:hRule="atLeast"/>
        </w:trPr>
        <w:tc>
          <w:tcPr>
            <w:tcW w:w="525" w:type="dxa"/>
            <w:tcBorders>
              <w:top w:val="single" w:color="000000" w:sz="4" w:space="0"/>
              <w:left w:val="single" w:color="000000" w:sz="4" w:space="0"/>
              <w:bottom w:val="nil"/>
              <w:right w:val="single" w:color="000000" w:sz="4" w:space="0"/>
            </w:tcBorders>
            <w:shd w:val="clear" w:color="auto" w:fill="BFBFBF"/>
            <w:tcMar>
              <w:top w:w="15" w:type="dxa"/>
              <w:left w:w="15" w:type="dxa"/>
              <w:right w:w="15" w:type="dxa"/>
            </w:tcMar>
            <w:vAlign w:val="center"/>
          </w:tcPr>
          <w:p>
            <w:pPr>
              <w:widowControl/>
              <w:spacing w:line="440" w:lineRule="exact"/>
              <w:jc w:val="center"/>
              <w:textAlignment w:val="center"/>
              <w:rPr>
                <w:rFonts w:ascii="宋体" w:hAnsi="宋体" w:cs="宋体"/>
                <w:b/>
                <w:szCs w:val="21"/>
              </w:rPr>
            </w:pPr>
            <w:r>
              <w:rPr>
                <w:rFonts w:hint="eastAsia" w:ascii="宋体" w:hAnsi="宋体" w:cs="宋体"/>
                <w:b/>
                <w:kern w:val="0"/>
                <w:szCs w:val="21"/>
              </w:rPr>
              <w:t>序号</w:t>
            </w:r>
          </w:p>
        </w:tc>
        <w:tc>
          <w:tcPr>
            <w:tcW w:w="2042" w:type="dxa"/>
            <w:tcBorders>
              <w:top w:val="single" w:color="000000" w:sz="4" w:space="0"/>
              <w:left w:val="single" w:color="000000" w:sz="4" w:space="0"/>
              <w:bottom w:val="nil"/>
              <w:right w:val="single" w:color="000000" w:sz="4" w:space="0"/>
            </w:tcBorders>
            <w:shd w:val="clear" w:color="auto" w:fill="BFBFBF"/>
            <w:tcMar>
              <w:top w:w="15" w:type="dxa"/>
              <w:left w:w="15" w:type="dxa"/>
              <w:right w:w="15" w:type="dxa"/>
            </w:tcMar>
            <w:vAlign w:val="center"/>
          </w:tcPr>
          <w:p>
            <w:pPr>
              <w:widowControl/>
              <w:spacing w:line="440" w:lineRule="exact"/>
              <w:jc w:val="center"/>
              <w:textAlignment w:val="center"/>
              <w:rPr>
                <w:rFonts w:ascii="宋体" w:hAnsi="宋体" w:cs="宋体"/>
                <w:b/>
                <w:szCs w:val="21"/>
              </w:rPr>
            </w:pPr>
            <w:r>
              <w:rPr>
                <w:rFonts w:hint="eastAsia" w:ascii="宋体" w:hAnsi="宋体" w:cs="宋体"/>
                <w:b/>
                <w:kern w:val="0"/>
                <w:szCs w:val="21"/>
              </w:rPr>
              <w:t>项目节点</w:t>
            </w:r>
          </w:p>
        </w:tc>
        <w:tc>
          <w:tcPr>
            <w:tcW w:w="1276" w:type="dxa"/>
            <w:tcBorders>
              <w:top w:val="single" w:color="000000" w:sz="4" w:space="0"/>
              <w:left w:val="single" w:color="000000" w:sz="4" w:space="0"/>
              <w:bottom w:val="single" w:color="000000" w:sz="4" w:space="0"/>
              <w:right w:val="single" w:color="000000" w:sz="4" w:space="0"/>
            </w:tcBorders>
            <w:shd w:val="clear" w:color="auto" w:fill="BFBFBF"/>
            <w:tcMar>
              <w:top w:w="15" w:type="dxa"/>
              <w:left w:w="15" w:type="dxa"/>
              <w:right w:w="15" w:type="dxa"/>
            </w:tcMar>
            <w:vAlign w:val="center"/>
          </w:tcPr>
          <w:p>
            <w:pPr>
              <w:widowControl/>
              <w:spacing w:line="440" w:lineRule="exact"/>
              <w:jc w:val="center"/>
              <w:textAlignment w:val="center"/>
              <w:rPr>
                <w:rFonts w:ascii="宋体" w:hAnsi="宋体" w:cs="宋体"/>
                <w:b/>
                <w:szCs w:val="21"/>
              </w:rPr>
            </w:pPr>
            <w:r>
              <w:rPr>
                <w:rFonts w:hint="eastAsia" w:ascii="宋体" w:hAnsi="宋体" w:cs="宋体"/>
                <w:b/>
                <w:kern w:val="0"/>
                <w:szCs w:val="21"/>
              </w:rPr>
              <w:t>开始时间</w:t>
            </w:r>
          </w:p>
        </w:tc>
        <w:tc>
          <w:tcPr>
            <w:tcW w:w="1134" w:type="dxa"/>
            <w:tcBorders>
              <w:top w:val="single" w:color="000000" w:sz="4" w:space="0"/>
              <w:left w:val="single" w:color="000000" w:sz="4" w:space="0"/>
              <w:bottom w:val="single" w:color="000000" w:sz="4" w:space="0"/>
              <w:right w:val="single" w:color="000000" w:sz="4" w:space="0"/>
            </w:tcBorders>
            <w:shd w:val="clear" w:color="auto" w:fill="BFBFBF"/>
            <w:tcMar>
              <w:top w:w="15" w:type="dxa"/>
              <w:left w:w="15" w:type="dxa"/>
              <w:right w:w="15" w:type="dxa"/>
            </w:tcMar>
            <w:vAlign w:val="center"/>
          </w:tcPr>
          <w:p>
            <w:pPr>
              <w:widowControl/>
              <w:spacing w:line="440" w:lineRule="exact"/>
              <w:jc w:val="center"/>
              <w:textAlignment w:val="center"/>
              <w:rPr>
                <w:rFonts w:ascii="宋体" w:hAnsi="宋体" w:cs="宋体"/>
                <w:b/>
                <w:szCs w:val="21"/>
              </w:rPr>
            </w:pPr>
            <w:r>
              <w:rPr>
                <w:rFonts w:hint="eastAsia" w:ascii="宋体" w:hAnsi="宋体" w:cs="宋体"/>
                <w:b/>
                <w:kern w:val="0"/>
                <w:szCs w:val="21"/>
              </w:rPr>
              <w:t>工期</w:t>
            </w:r>
            <w:r>
              <w:rPr>
                <w:rFonts w:hint="eastAsia" w:ascii="宋体" w:hAnsi="宋体" w:cs="宋体"/>
                <w:b/>
                <w:kern w:val="0"/>
                <w:szCs w:val="21"/>
              </w:rPr>
              <w:br/>
            </w:r>
            <w:r>
              <w:rPr>
                <w:rFonts w:hint="eastAsia" w:ascii="宋体" w:hAnsi="宋体" w:cs="宋体"/>
                <w:b/>
                <w:kern w:val="0"/>
                <w:szCs w:val="21"/>
              </w:rPr>
              <w:t>(日历天)</w:t>
            </w:r>
          </w:p>
        </w:tc>
        <w:tc>
          <w:tcPr>
            <w:tcW w:w="1417" w:type="dxa"/>
            <w:tcBorders>
              <w:top w:val="single" w:color="000000" w:sz="4" w:space="0"/>
              <w:left w:val="single" w:color="000000" w:sz="4" w:space="0"/>
              <w:bottom w:val="single" w:color="000000" w:sz="4" w:space="0"/>
              <w:right w:val="single" w:color="000000" w:sz="4" w:space="0"/>
            </w:tcBorders>
            <w:shd w:val="clear" w:color="auto" w:fill="BFBFBF"/>
            <w:tcMar>
              <w:top w:w="15" w:type="dxa"/>
              <w:left w:w="15" w:type="dxa"/>
              <w:right w:w="15" w:type="dxa"/>
            </w:tcMar>
            <w:vAlign w:val="center"/>
          </w:tcPr>
          <w:p>
            <w:pPr>
              <w:widowControl/>
              <w:spacing w:line="440" w:lineRule="exact"/>
              <w:jc w:val="center"/>
              <w:textAlignment w:val="center"/>
              <w:rPr>
                <w:rFonts w:ascii="宋体" w:hAnsi="宋体" w:cs="宋体"/>
                <w:b/>
                <w:szCs w:val="21"/>
              </w:rPr>
            </w:pPr>
            <w:r>
              <w:rPr>
                <w:rFonts w:hint="eastAsia" w:ascii="宋体" w:hAnsi="宋体" w:cs="宋体"/>
                <w:b/>
                <w:kern w:val="0"/>
                <w:szCs w:val="21"/>
              </w:rPr>
              <w:t>结束时间</w:t>
            </w:r>
          </w:p>
        </w:tc>
        <w:tc>
          <w:tcPr>
            <w:tcW w:w="2081" w:type="dxa"/>
            <w:tcBorders>
              <w:top w:val="single" w:color="000000" w:sz="4" w:space="0"/>
              <w:left w:val="single" w:color="000000" w:sz="4" w:space="0"/>
              <w:bottom w:val="nil"/>
              <w:right w:val="single" w:color="000000" w:sz="4" w:space="0"/>
            </w:tcBorders>
            <w:shd w:val="clear" w:color="auto" w:fill="BFBFBF"/>
            <w:tcMar>
              <w:top w:w="15" w:type="dxa"/>
              <w:left w:w="15" w:type="dxa"/>
              <w:right w:w="15" w:type="dxa"/>
            </w:tcMar>
            <w:vAlign w:val="center"/>
          </w:tcPr>
          <w:p>
            <w:pPr>
              <w:widowControl/>
              <w:spacing w:line="440" w:lineRule="exact"/>
              <w:jc w:val="center"/>
              <w:textAlignment w:val="center"/>
              <w:rPr>
                <w:rFonts w:ascii="宋体" w:hAnsi="宋体" w:cs="宋体"/>
                <w:b/>
                <w:szCs w:val="21"/>
              </w:rPr>
            </w:pPr>
            <w:r>
              <w:rPr>
                <w:rFonts w:hint="eastAsia" w:ascii="宋体" w:hAnsi="宋体" w:cs="宋体"/>
                <w:b/>
                <w:kern w:val="0"/>
                <w:szCs w:val="21"/>
              </w:rPr>
              <w:t>备注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540" w:hRule="atLeast"/>
        </w:trPr>
        <w:tc>
          <w:tcPr>
            <w:tcW w:w="52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spacing w:line="440" w:lineRule="exact"/>
              <w:jc w:val="center"/>
              <w:textAlignment w:val="center"/>
              <w:rPr>
                <w:rFonts w:hint="eastAsia" w:ascii="宋体" w:hAnsi="宋体" w:eastAsia="宋体" w:cs="宋体"/>
                <w:szCs w:val="21"/>
                <w:lang w:eastAsia="zh-CN"/>
              </w:rPr>
            </w:pPr>
            <w:r>
              <w:rPr>
                <w:rFonts w:hint="eastAsia" w:ascii="宋体" w:hAnsi="宋体" w:cs="宋体"/>
                <w:color w:val="000000"/>
                <w:kern w:val="0"/>
                <w:sz w:val="24"/>
                <w:lang w:val="en-US" w:eastAsia="zh-CN"/>
              </w:rPr>
              <w:t>1</w:t>
            </w:r>
          </w:p>
        </w:tc>
        <w:tc>
          <w:tcPr>
            <w:tcW w:w="2042"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spacing w:line="440" w:lineRule="exact"/>
              <w:jc w:val="left"/>
              <w:textAlignment w:val="center"/>
              <w:rPr>
                <w:rFonts w:ascii="宋体" w:hAnsi="宋体" w:cs="宋体"/>
                <w:szCs w:val="21"/>
              </w:rPr>
            </w:pPr>
            <w:r>
              <w:rPr>
                <w:rFonts w:hint="eastAsia" w:ascii="宋体" w:hAnsi="宋体" w:cs="宋体"/>
                <w:color w:val="000000"/>
                <w:kern w:val="0"/>
                <w:sz w:val="24"/>
                <w:lang/>
              </w:rPr>
              <w:t>施工及安装</w:t>
            </w:r>
          </w:p>
        </w:tc>
        <w:tc>
          <w:tcPr>
            <w:tcW w:w="127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spacing w:line="440" w:lineRule="exact"/>
              <w:jc w:val="left"/>
              <w:textAlignment w:val="center"/>
              <w:rPr>
                <w:rFonts w:ascii="宋体" w:hAnsi="宋体" w:cs="宋体"/>
                <w:szCs w:val="21"/>
              </w:rPr>
            </w:pPr>
            <w:r>
              <w:rPr>
                <w:rFonts w:hint="eastAsia" w:ascii="宋体" w:hAnsi="宋体" w:cs="宋体"/>
                <w:color w:val="000000"/>
                <w:kern w:val="0"/>
                <w:sz w:val="24"/>
                <w:lang/>
              </w:rPr>
              <w:t>202</w:t>
            </w:r>
            <w:r>
              <w:rPr>
                <w:rFonts w:ascii="宋体" w:hAnsi="宋体" w:cs="宋体"/>
                <w:color w:val="000000"/>
                <w:kern w:val="0"/>
                <w:sz w:val="24"/>
                <w:lang/>
              </w:rPr>
              <w:t>4</w:t>
            </w:r>
            <w:r>
              <w:rPr>
                <w:rFonts w:hint="eastAsia" w:ascii="宋体" w:hAnsi="宋体" w:cs="宋体"/>
                <w:color w:val="000000"/>
                <w:kern w:val="0"/>
                <w:sz w:val="24"/>
                <w:lang/>
              </w:rPr>
              <w:t>-</w:t>
            </w:r>
            <w:r>
              <w:rPr>
                <w:rFonts w:ascii="宋体" w:hAnsi="宋体" w:cs="宋体"/>
                <w:color w:val="000000"/>
                <w:kern w:val="0"/>
                <w:sz w:val="24"/>
                <w:lang/>
              </w:rPr>
              <w:t>6</w:t>
            </w:r>
            <w:r>
              <w:rPr>
                <w:rFonts w:hint="eastAsia" w:ascii="宋体" w:hAnsi="宋体" w:cs="宋体"/>
                <w:color w:val="000000"/>
                <w:kern w:val="0"/>
                <w:sz w:val="24"/>
                <w:lang/>
              </w:rPr>
              <w:t>-</w:t>
            </w:r>
            <w:r>
              <w:rPr>
                <w:rFonts w:hint="eastAsia" w:ascii="宋体" w:hAnsi="宋体" w:cs="宋体"/>
                <w:color w:val="000000"/>
                <w:kern w:val="0"/>
                <w:sz w:val="24"/>
                <w:lang w:val="en-US" w:eastAsia="zh-CN"/>
              </w:rPr>
              <w:t>20</w:t>
            </w:r>
          </w:p>
        </w:tc>
        <w:tc>
          <w:tcPr>
            <w:tcW w:w="113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spacing w:line="440" w:lineRule="exact"/>
              <w:jc w:val="center"/>
              <w:textAlignment w:val="center"/>
              <w:rPr>
                <w:rFonts w:ascii="宋体" w:hAnsi="宋体" w:cs="宋体"/>
                <w:szCs w:val="21"/>
              </w:rPr>
            </w:pPr>
            <w:r>
              <w:rPr>
                <w:rFonts w:ascii="宋体" w:hAnsi="宋体" w:cs="宋体"/>
                <w:color w:val="000000"/>
                <w:kern w:val="0"/>
                <w:sz w:val="24"/>
                <w:lang/>
              </w:rPr>
              <w:t>45</w:t>
            </w:r>
          </w:p>
        </w:tc>
        <w:tc>
          <w:tcPr>
            <w:tcW w:w="1417"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spacing w:line="440" w:lineRule="exact"/>
              <w:jc w:val="left"/>
              <w:textAlignment w:val="center"/>
              <w:rPr>
                <w:rFonts w:ascii="宋体" w:hAnsi="宋体" w:cs="宋体"/>
                <w:szCs w:val="21"/>
              </w:rPr>
            </w:pPr>
            <w:r>
              <w:rPr>
                <w:rFonts w:hint="eastAsia" w:ascii="宋体" w:hAnsi="宋体" w:cs="宋体"/>
                <w:color w:val="000000"/>
                <w:kern w:val="0"/>
                <w:sz w:val="24"/>
                <w:lang/>
              </w:rPr>
              <w:t>202</w:t>
            </w:r>
            <w:r>
              <w:rPr>
                <w:rFonts w:ascii="宋体" w:hAnsi="宋体" w:cs="宋体"/>
                <w:color w:val="000000"/>
                <w:kern w:val="0"/>
                <w:sz w:val="24"/>
                <w:lang/>
              </w:rPr>
              <w:t>4</w:t>
            </w:r>
            <w:r>
              <w:rPr>
                <w:rFonts w:hint="eastAsia" w:ascii="宋体" w:hAnsi="宋体" w:cs="宋体"/>
                <w:color w:val="000000"/>
                <w:kern w:val="0"/>
                <w:sz w:val="24"/>
                <w:lang/>
              </w:rPr>
              <w:t>-</w:t>
            </w:r>
            <w:r>
              <w:rPr>
                <w:rFonts w:hint="eastAsia" w:ascii="宋体" w:hAnsi="宋体" w:cs="宋体"/>
                <w:color w:val="000000"/>
                <w:kern w:val="0"/>
                <w:sz w:val="24"/>
                <w:lang w:val="en-US" w:eastAsia="zh-CN"/>
              </w:rPr>
              <w:t>8</w:t>
            </w:r>
            <w:r>
              <w:rPr>
                <w:rFonts w:hint="eastAsia" w:ascii="宋体" w:hAnsi="宋体" w:cs="宋体"/>
                <w:color w:val="000000"/>
                <w:kern w:val="0"/>
                <w:sz w:val="24"/>
                <w:lang/>
              </w:rPr>
              <w:t>-</w:t>
            </w:r>
            <w:r>
              <w:rPr>
                <w:rFonts w:hint="eastAsia" w:ascii="宋体" w:hAnsi="宋体" w:cs="宋体"/>
                <w:color w:val="000000"/>
                <w:kern w:val="0"/>
                <w:sz w:val="24"/>
                <w:lang w:val="en-US" w:eastAsia="zh-CN"/>
              </w:rPr>
              <w:t>03</w:t>
            </w:r>
          </w:p>
        </w:tc>
        <w:tc>
          <w:tcPr>
            <w:tcW w:w="20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spacing w:line="440" w:lineRule="exact"/>
              <w:jc w:val="left"/>
              <w:textAlignment w:val="center"/>
              <w:rPr>
                <w:rFonts w:ascii="宋体" w:hAnsi="宋体" w:cs="宋体"/>
                <w:szCs w:val="21"/>
              </w:rPr>
            </w:pPr>
            <w:r>
              <w:rPr>
                <w:rFonts w:hint="eastAsia" w:ascii="宋体" w:hAnsi="宋体" w:cs="宋体"/>
                <w:color w:val="000000"/>
                <w:kern w:val="0"/>
                <w:sz w:val="24"/>
                <w:lang/>
              </w:rPr>
              <w:t xml:space="preserve"> </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540" w:hRule="atLeast"/>
        </w:trPr>
        <w:tc>
          <w:tcPr>
            <w:tcW w:w="52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spacing w:line="440" w:lineRule="exact"/>
              <w:jc w:val="center"/>
              <w:textAlignment w:val="center"/>
              <w:rPr>
                <w:rFonts w:hint="eastAsia" w:ascii="宋体" w:hAnsi="宋体" w:eastAsia="宋体" w:cs="宋体"/>
                <w:szCs w:val="21"/>
                <w:lang w:eastAsia="zh-CN"/>
              </w:rPr>
            </w:pPr>
            <w:r>
              <w:rPr>
                <w:rFonts w:hint="eastAsia" w:ascii="宋体" w:hAnsi="宋体" w:cs="宋体"/>
                <w:color w:val="000000"/>
                <w:kern w:val="0"/>
                <w:sz w:val="24"/>
                <w:lang w:val="en-US" w:eastAsia="zh-CN"/>
              </w:rPr>
              <w:t>2</w:t>
            </w:r>
          </w:p>
        </w:tc>
        <w:tc>
          <w:tcPr>
            <w:tcW w:w="2042"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spacing w:line="440" w:lineRule="exact"/>
              <w:jc w:val="left"/>
              <w:textAlignment w:val="center"/>
              <w:rPr>
                <w:rFonts w:ascii="宋体" w:hAnsi="宋体" w:cs="宋体"/>
                <w:szCs w:val="21"/>
              </w:rPr>
            </w:pPr>
            <w:r>
              <w:rPr>
                <w:rFonts w:hint="eastAsia" w:ascii="宋体" w:hAnsi="宋体" w:cs="宋体"/>
                <w:color w:val="000000"/>
                <w:kern w:val="0"/>
                <w:sz w:val="24"/>
                <w:lang/>
              </w:rPr>
              <w:t>收尾及清理</w:t>
            </w:r>
          </w:p>
        </w:tc>
        <w:tc>
          <w:tcPr>
            <w:tcW w:w="127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spacing w:line="440" w:lineRule="exact"/>
              <w:jc w:val="left"/>
              <w:textAlignment w:val="center"/>
              <w:rPr>
                <w:rFonts w:ascii="宋体" w:hAnsi="宋体" w:cs="宋体"/>
                <w:szCs w:val="21"/>
              </w:rPr>
            </w:pPr>
            <w:r>
              <w:rPr>
                <w:rFonts w:hint="eastAsia" w:ascii="宋体" w:hAnsi="宋体" w:cs="宋体"/>
                <w:color w:val="000000"/>
                <w:kern w:val="0"/>
                <w:sz w:val="24"/>
                <w:lang/>
              </w:rPr>
              <w:t>202</w:t>
            </w:r>
            <w:r>
              <w:rPr>
                <w:rFonts w:ascii="宋体" w:hAnsi="宋体" w:cs="宋体"/>
                <w:color w:val="000000"/>
                <w:kern w:val="0"/>
                <w:sz w:val="24"/>
                <w:lang/>
              </w:rPr>
              <w:t>4</w:t>
            </w:r>
            <w:r>
              <w:rPr>
                <w:rFonts w:hint="eastAsia" w:ascii="宋体" w:hAnsi="宋体" w:cs="宋体"/>
                <w:color w:val="000000"/>
                <w:kern w:val="0"/>
                <w:sz w:val="24"/>
                <w:lang/>
              </w:rPr>
              <w:t>-</w:t>
            </w:r>
            <w:r>
              <w:rPr>
                <w:rFonts w:hint="eastAsia" w:ascii="宋体" w:hAnsi="宋体" w:cs="宋体"/>
                <w:color w:val="000000"/>
                <w:kern w:val="0"/>
                <w:sz w:val="24"/>
                <w:lang w:val="en-US" w:eastAsia="zh-CN"/>
              </w:rPr>
              <w:t>8</w:t>
            </w:r>
            <w:r>
              <w:rPr>
                <w:rFonts w:hint="eastAsia" w:ascii="宋体" w:hAnsi="宋体" w:cs="宋体"/>
                <w:color w:val="000000"/>
                <w:kern w:val="0"/>
                <w:sz w:val="24"/>
                <w:lang/>
              </w:rPr>
              <w:t>-</w:t>
            </w:r>
            <w:r>
              <w:rPr>
                <w:rFonts w:hint="eastAsia" w:ascii="宋体" w:hAnsi="宋体" w:cs="宋体"/>
                <w:color w:val="000000"/>
                <w:kern w:val="0"/>
                <w:sz w:val="24"/>
                <w:lang w:val="en-US" w:eastAsia="zh-CN"/>
              </w:rPr>
              <w:t>04</w:t>
            </w:r>
          </w:p>
        </w:tc>
        <w:tc>
          <w:tcPr>
            <w:tcW w:w="113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spacing w:line="440" w:lineRule="exact"/>
              <w:jc w:val="center"/>
              <w:textAlignment w:val="center"/>
              <w:rPr>
                <w:rFonts w:hint="eastAsia" w:ascii="宋体" w:hAnsi="宋体" w:eastAsia="宋体" w:cs="宋体"/>
                <w:szCs w:val="21"/>
                <w:lang w:val="en-US" w:eastAsia="zh-CN"/>
              </w:rPr>
            </w:pPr>
            <w:r>
              <w:rPr>
                <w:rFonts w:ascii="宋体" w:hAnsi="宋体" w:cs="宋体"/>
                <w:color w:val="000000"/>
                <w:kern w:val="0"/>
                <w:sz w:val="24"/>
                <w:lang/>
              </w:rPr>
              <w:t xml:space="preserve"> </w:t>
            </w:r>
            <w:r>
              <w:rPr>
                <w:rFonts w:hint="eastAsia" w:ascii="宋体" w:hAnsi="宋体" w:cs="宋体"/>
                <w:color w:val="000000"/>
                <w:kern w:val="0"/>
                <w:sz w:val="24"/>
                <w:lang w:val="en-US" w:eastAsia="zh-CN"/>
              </w:rPr>
              <w:t>3</w:t>
            </w:r>
          </w:p>
        </w:tc>
        <w:tc>
          <w:tcPr>
            <w:tcW w:w="1417"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spacing w:line="440" w:lineRule="exact"/>
              <w:jc w:val="left"/>
              <w:textAlignment w:val="center"/>
              <w:rPr>
                <w:rFonts w:hint="default" w:ascii="宋体" w:hAnsi="宋体" w:eastAsia="宋体" w:cs="宋体"/>
                <w:szCs w:val="21"/>
                <w:lang w:val="en-US" w:eastAsia="zh-CN"/>
              </w:rPr>
            </w:pPr>
            <w:r>
              <w:rPr>
                <w:rFonts w:hint="eastAsia" w:ascii="宋体" w:hAnsi="宋体" w:cs="宋体"/>
                <w:color w:val="000000"/>
                <w:kern w:val="0"/>
                <w:sz w:val="24"/>
                <w:lang/>
              </w:rPr>
              <w:t>202</w:t>
            </w:r>
            <w:r>
              <w:rPr>
                <w:rFonts w:ascii="宋体" w:hAnsi="宋体" w:cs="宋体"/>
                <w:color w:val="000000"/>
                <w:kern w:val="0"/>
                <w:sz w:val="24"/>
                <w:lang/>
              </w:rPr>
              <w:t>4</w:t>
            </w:r>
            <w:r>
              <w:rPr>
                <w:rFonts w:hint="eastAsia" w:ascii="宋体" w:hAnsi="宋体" w:cs="宋体"/>
                <w:color w:val="000000"/>
                <w:kern w:val="0"/>
                <w:sz w:val="24"/>
                <w:lang/>
              </w:rPr>
              <w:t>-</w:t>
            </w:r>
            <w:r>
              <w:rPr>
                <w:rFonts w:hint="eastAsia" w:ascii="宋体" w:hAnsi="宋体" w:cs="宋体"/>
                <w:color w:val="000000"/>
                <w:kern w:val="0"/>
                <w:sz w:val="24"/>
                <w:lang w:val="en-US" w:eastAsia="zh-CN"/>
              </w:rPr>
              <w:t>8</w:t>
            </w:r>
            <w:r>
              <w:rPr>
                <w:rFonts w:hint="eastAsia" w:ascii="宋体" w:hAnsi="宋体" w:cs="宋体"/>
                <w:color w:val="000000"/>
                <w:kern w:val="0"/>
                <w:sz w:val="24"/>
                <w:lang/>
              </w:rPr>
              <w:t>-</w:t>
            </w:r>
            <w:r>
              <w:rPr>
                <w:rFonts w:hint="eastAsia" w:ascii="宋体" w:hAnsi="宋体" w:cs="宋体"/>
                <w:color w:val="000000"/>
                <w:kern w:val="0"/>
                <w:sz w:val="24"/>
                <w:lang w:val="en-US" w:eastAsia="zh-CN"/>
              </w:rPr>
              <w:t>06</w:t>
            </w:r>
          </w:p>
        </w:tc>
        <w:tc>
          <w:tcPr>
            <w:tcW w:w="20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spacing w:line="440" w:lineRule="exact"/>
              <w:jc w:val="left"/>
              <w:textAlignment w:val="center"/>
              <w:rPr>
                <w:rFonts w:ascii="宋体" w:hAnsi="宋体" w:cs="宋体"/>
                <w:szCs w:val="21"/>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0" w:type="dxa"/>
            <w:bottom w:w="0" w:type="dxa"/>
            <w:right w:w="0" w:type="dxa"/>
          </w:tblCellMar>
        </w:tblPrEx>
        <w:trPr>
          <w:trHeight w:val="540" w:hRule="atLeast"/>
        </w:trPr>
        <w:tc>
          <w:tcPr>
            <w:tcW w:w="525"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spacing w:line="440" w:lineRule="exact"/>
              <w:jc w:val="center"/>
              <w:textAlignment w:val="center"/>
              <w:rPr>
                <w:rFonts w:hint="eastAsia" w:ascii="宋体" w:hAnsi="宋体" w:eastAsia="宋体" w:cs="宋体"/>
                <w:szCs w:val="21"/>
                <w:lang w:eastAsia="zh-CN"/>
              </w:rPr>
            </w:pPr>
            <w:r>
              <w:rPr>
                <w:rFonts w:hint="eastAsia" w:ascii="宋体" w:hAnsi="宋体" w:cs="宋体"/>
                <w:color w:val="000000"/>
                <w:kern w:val="0"/>
                <w:sz w:val="24"/>
                <w:lang w:val="en-US" w:eastAsia="zh-CN"/>
              </w:rPr>
              <w:t>3</w:t>
            </w:r>
          </w:p>
        </w:tc>
        <w:tc>
          <w:tcPr>
            <w:tcW w:w="2042"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spacing w:line="440" w:lineRule="exact"/>
              <w:jc w:val="left"/>
              <w:textAlignment w:val="center"/>
              <w:rPr>
                <w:rFonts w:ascii="宋体" w:hAnsi="宋体" w:cs="宋体"/>
                <w:szCs w:val="21"/>
              </w:rPr>
            </w:pPr>
            <w:r>
              <w:rPr>
                <w:rFonts w:hint="eastAsia" w:ascii="宋体" w:hAnsi="宋体" w:cs="宋体"/>
                <w:color w:val="000000"/>
                <w:kern w:val="0"/>
                <w:sz w:val="24"/>
                <w:lang w:val="en-US" w:eastAsia="zh-CN"/>
              </w:rPr>
              <w:t>工程</w:t>
            </w:r>
            <w:r>
              <w:rPr>
                <w:rFonts w:hint="eastAsia" w:ascii="宋体" w:hAnsi="宋体" w:cs="宋体"/>
                <w:color w:val="000000"/>
                <w:kern w:val="0"/>
                <w:sz w:val="24"/>
                <w:lang/>
              </w:rPr>
              <w:t>验收</w:t>
            </w:r>
          </w:p>
        </w:tc>
        <w:tc>
          <w:tcPr>
            <w:tcW w:w="1276"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spacing w:line="440" w:lineRule="exact"/>
              <w:jc w:val="left"/>
              <w:textAlignment w:val="center"/>
              <w:rPr>
                <w:rFonts w:hint="default" w:ascii="宋体" w:hAnsi="宋体" w:eastAsia="宋体" w:cs="宋体"/>
                <w:szCs w:val="21"/>
                <w:lang w:val="en-US" w:eastAsia="zh-CN"/>
              </w:rPr>
            </w:pPr>
            <w:r>
              <w:rPr>
                <w:rFonts w:hint="eastAsia" w:ascii="宋体" w:hAnsi="宋体" w:cs="宋体"/>
                <w:color w:val="000000"/>
                <w:kern w:val="0"/>
                <w:sz w:val="24"/>
                <w:lang/>
              </w:rPr>
              <w:t>202</w:t>
            </w:r>
            <w:r>
              <w:rPr>
                <w:rFonts w:ascii="宋体" w:hAnsi="宋体" w:cs="宋体"/>
                <w:color w:val="000000"/>
                <w:kern w:val="0"/>
                <w:sz w:val="24"/>
                <w:lang/>
              </w:rPr>
              <w:t>4</w:t>
            </w:r>
            <w:r>
              <w:rPr>
                <w:rFonts w:hint="eastAsia" w:ascii="宋体" w:hAnsi="宋体" w:cs="宋体"/>
                <w:color w:val="000000"/>
                <w:kern w:val="0"/>
                <w:sz w:val="24"/>
                <w:lang/>
              </w:rPr>
              <w:t>-</w:t>
            </w:r>
            <w:r>
              <w:rPr>
                <w:rFonts w:hint="eastAsia" w:ascii="宋体" w:hAnsi="宋体" w:cs="宋体"/>
                <w:color w:val="000000"/>
                <w:kern w:val="0"/>
                <w:sz w:val="24"/>
                <w:lang w:val="en-US" w:eastAsia="zh-CN"/>
              </w:rPr>
              <w:t>8</w:t>
            </w:r>
            <w:r>
              <w:rPr>
                <w:rFonts w:hint="eastAsia" w:ascii="宋体" w:hAnsi="宋体" w:cs="宋体"/>
                <w:color w:val="000000"/>
                <w:kern w:val="0"/>
                <w:sz w:val="24"/>
                <w:lang/>
              </w:rPr>
              <w:t>-</w:t>
            </w:r>
            <w:r>
              <w:rPr>
                <w:rFonts w:hint="eastAsia" w:ascii="宋体" w:hAnsi="宋体" w:cs="宋体"/>
                <w:color w:val="000000"/>
                <w:kern w:val="0"/>
                <w:sz w:val="24"/>
                <w:lang w:val="en-US" w:eastAsia="zh-CN"/>
              </w:rPr>
              <w:t>07</w:t>
            </w:r>
          </w:p>
        </w:tc>
        <w:tc>
          <w:tcPr>
            <w:tcW w:w="1134"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spacing w:line="440" w:lineRule="exact"/>
              <w:jc w:val="center"/>
              <w:textAlignment w:val="center"/>
              <w:rPr>
                <w:rFonts w:hint="eastAsia" w:ascii="宋体" w:hAnsi="宋体" w:eastAsia="宋体" w:cs="宋体"/>
                <w:szCs w:val="21"/>
                <w:lang w:val="en-US" w:eastAsia="zh-CN"/>
              </w:rPr>
            </w:pPr>
            <w:r>
              <w:rPr>
                <w:rFonts w:ascii="宋体" w:hAnsi="宋体" w:cs="宋体"/>
                <w:color w:val="000000"/>
                <w:kern w:val="0"/>
                <w:sz w:val="24"/>
                <w:lang/>
              </w:rPr>
              <w:t xml:space="preserve"> </w:t>
            </w:r>
            <w:r>
              <w:rPr>
                <w:rFonts w:hint="eastAsia" w:ascii="宋体" w:hAnsi="宋体" w:cs="宋体"/>
                <w:color w:val="000000"/>
                <w:kern w:val="0"/>
                <w:sz w:val="24"/>
                <w:lang w:val="en-US" w:eastAsia="zh-CN"/>
              </w:rPr>
              <w:t>2</w:t>
            </w:r>
          </w:p>
        </w:tc>
        <w:tc>
          <w:tcPr>
            <w:tcW w:w="1417"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widowControl/>
              <w:spacing w:line="440" w:lineRule="exact"/>
              <w:jc w:val="left"/>
              <w:textAlignment w:val="center"/>
              <w:rPr>
                <w:rFonts w:hint="eastAsia" w:ascii="宋体" w:hAnsi="宋体" w:eastAsia="宋体" w:cs="宋体"/>
                <w:szCs w:val="21"/>
                <w:lang w:val="en-US" w:eastAsia="zh-CN"/>
              </w:rPr>
            </w:pPr>
            <w:r>
              <w:rPr>
                <w:rFonts w:hint="eastAsia" w:ascii="宋体" w:hAnsi="宋体" w:cs="宋体"/>
                <w:color w:val="000000"/>
                <w:kern w:val="0"/>
                <w:sz w:val="24"/>
                <w:lang/>
              </w:rPr>
              <w:t>202</w:t>
            </w:r>
            <w:r>
              <w:rPr>
                <w:rFonts w:ascii="宋体" w:hAnsi="宋体" w:cs="宋体"/>
                <w:color w:val="000000"/>
                <w:kern w:val="0"/>
                <w:sz w:val="24"/>
                <w:lang/>
              </w:rPr>
              <w:t>4</w:t>
            </w:r>
            <w:r>
              <w:rPr>
                <w:rFonts w:hint="eastAsia" w:ascii="宋体" w:hAnsi="宋体" w:cs="宋体"/>
                <w:color w:val="000000"/>
                <w:kern w:val="0"/>
                <w:sz w:val="24"/>
                <w:lang/>
              </w:rPr>
              <w:t>-</w:t>
            </w:r>
            <w:r>
              <w:rPr>
                <w:rFonts w:hint="eastAsia" w:ascii="宋体" w:hAnsi="宋体" w:cs="宋体"/>
                <w:color w:val="000000"/>
                <w:kern w:val="0"/>
                <w:sz w:val="24"/>
                <w:lang w:val="en-US" w:eastAsia="zh-CN"/>
              </w:rPr>
              <w:t>8</w:t>
            </w:r>
            <w:r>
              <w:rPr>
                <w:rFonts w:hint="eastAsia" w:ascii="宋体" w:hAnsi="宋体" w:cs="宋体"/>
                <w:color w:val="000000"/>
                <w:kern w:val="0"/>
                <w:sz w:val="24"/>
                <w:lang/>
              </w:rPr>
              <w:t>-</w:t>
            </w:r>
            <w:r>
              <w:rPr>
                <w:rFonts w:hint="eastAsia" w:ascii="宋体" w:hAnsi="宋体" w:cs="宋体"/>
                <w:color w:val="000000"/>
                <w:kern w:val="0"/>
                <w:sz w:val="24"/>
                <w:lang w:val="en-US" w:eastAsia="zh-CN"/>
              </w:rPr>
              <w:t>08</w:t>
            </w:r>
          </w:p>
        </w:tc>
        <w:tc>
          <w:tcPr>
            <w:tcW w:w="2081" w:type="dxa"/>
            <w:tcBorders>
              <w:top w:val="single" w:color="000000" w:sz="4" w:space="0"/>
              <w:left w:val="single" w:color="000000" w:sz="4" w:space="0"/>
              <w:bottom w:val="single" w:color="000000" w:sz="4" w:space="0"/>
              <w:right w:val="single" w:color="000000" w:sz="4" w:space="0"/>
            </w:tcBorders>
            <w:tcMar>
              <w:top w:w="15" w:type="dxa"/>
              <w:left w:w="15" w:type="dxa"/>
              <w:right w:w="15" w:type="dxa"/>
            </w:tcMar>
            <w:vAlign w:val="center"/>
          </w:tcPr>
          <w:p>
            <w:pPr>
              <w:spacing w:line="440" w:lineRule="exact"/>
              <w:rPr>
                <w:rFonts w:ascii="宋体" w:hAnsi="宋体" w:cs="宋体"/>
                <w:szCs w:val="21"/>
              </w:rPr>
            </w:pPr>
          </w:p>
        </w:tc>
      </w:tr>
    </w:tbl>
    <w:p>
      <w:pPr>
        <w:autoSpaceDE w:val="0"/>
        <w:autoSpaceDN w:val="0"/>
        <w:adjustRightInd w:val="0"/>
        <w:snapToGrid w:val="0"/>
        <w:spacing w:line="440" w:lineRule="exact"/>
        <w:ind w:firstLine="480" w:firstLineChars="200"/>
        <w:jc w:val="left"/>
        <w:rPr>
          <w:rFonts w:ascii="宋体" w:hAnsi="宋体" w:eastAsia="宋体" w:cs="宋体"/>
          <w:sz w:val="24"/>
        </w:rPr>
      </w:pPr>
      <w:r>
        <w:rPr>
          <w:rFonts w:ascii="宋体" w:hAnsi="宋体" w:eastAsia="宋体" w:cs="宋体"/>
          <w:sz w:val="24"/>
        </w:rPr>
        <w:t xml:space="preserve">3 </w:t>
      </w:r>
      <w:r>
        <w:rPr>
          <w:rFonts w:hint="eastAsia" w:ascii="宋体" w:hAnsi="宋体" w:eastAsia="宋体" w:cs="宋体"/>
          <w:sz w:val="24"/>
        </w:rPr>
        <w:t>违约索赔措施：</w:t>
      </w:r>
    </w:p>
    <w:p>
      <w:pPr>
        <w:autoSpaceDE w:val="0"/>
        <w:autoSpaceDN w:val="0"/>
        <w:adjustRightInd w:val="0"/>
        <w:snapToGrid w:val="0"/>
        <w:spacing w:line="440" w:lineRule="exact"/>
        <w:ind w:firstLine="480" w:firstLineChars="200"/>
        <w:jc w:val="left"/>
        <w:rPr>
          <w:rFonts w:ascii="宋体" w:hAnsi="宋体" w:eastAsia="宋体" w:cs="宋体"/>
          <w:sz w:val="24"/>
        </w:rPr>
      </w:pPr>
      <w:r>
        <w:rPr>
          <w:rFonts w:ascii="宋体" w:hAnsi="宋体" w:eastAsia="宋体" w:cs="宋体"/>
          <w:sz w:val="24"/>
        </w:rPr>
        <w:t xml:space="preserve">3.1 </w:t>
      </w:r>
      <w:r>
        <w:rPr>
          <w:rFonts w:hint="eastAsia" w:ascii="宋体" w:hAnsi="宋体" w:eastAsia="宋体" w:cs="宋体"/>
          <w:sz w:val="24"/>
        </w:rPr>
        <w:t>合同签订后发包人下达进场通知起，临建工程需在7天内达到使用条件并通过建设主管部门验收，延期按</w:t>
      </w:r>
      <w:r>
        <w:rPr>
          <w:rFonts w:ascii="宋体" w:hAnsi="宋体" w:eastAsia="宋体" w:cs="宋体"/>
          <w:sz w:val="24"/>
        </w:rPr>
        <w:t>1</w:t>
      </w:r>
      <w:r>
        <w:rPr>
          <w:rFonts w:hint="eastAsia" w:ascii="宋体" w:hAnsi="宋体" w:eastAsia="宋体" w:cs="宋体"/>
          <w:sz w:val="24"/>
        </w:rPr>
        <w:t>000元/天索赔，施工现场临建、围挡等除满足建设主管部门现场验收要求外，还不得低于发包人配置标准要求，要求使用集装箱房进行搭设，见《安全健康及环保现场管理标准》。</w:t>
      </w:r>
    </w:p>
    <w:p>
      <w:pPr>
        <w:autoSpaceDE w:val="0"/>
        <w:autoSpaceDN w:val="0"/>
        <w:adjustRightInd w:val="0"/>
        <w:snapToGrid w:val="0"/>
        <w:spacing w:line="440" w:lineRule="exact"/>
        <w:ind w:firstLine="480" w:firstLineChars="200"/>
        <w:jc w:val="left"/>
        <w:rPr>
          <w:rFonts w:ascii="宋体" w:hAnsi="宋体" w:eastAsia="宋体" w:cs="宋体"/>
          <w:sz w:val="24"/>
        </w:rPr>
      </w:pPr>
      <w:r>
        <w:rPr>
          <w:rFonts w:ascii="宋体" w:hAnsi="宋体" w:eastAsia="宋体" w:cs="宋体"/>
          <w:sz w:val="24"/>
        </w:rPr>
        <w:t xml:space="preserve">3.2 </w:t>
      </w:r>
      <w:r>
        <w:rPr>
          <w:rFonts w:hint="eastAsia" w:ascii="宋体" w:hAnsi="宋体" w:eastAsia="宋体" w:cs="宋体"/>
          <w:sz w:val="24"/>
        </w:rPr>
        <w:t>承包人未按照合同条款约定的时间内开工，每逾期一天，承包人应向发包人支付</w:t>
      </w:r>
      <w:r>
        <w:rPr>
          <w:rFonts w:ascii="宋体" w:hAnsi="宋体" w:eastAsia="宋体" w:cs="宋体"/>
          <w:sz w:val="24"/>
        </w:rPr>
        <w:t>1</w:t>
      </w:r>
      <w:r>
        <w:rPr>
          <w:rFonts w:hint="eastAsia" w:ascii="宋体" w:hAnsi="宋体" w:eastAsia="宋体" w:cs="宋体"/>
          <w:sz w:val="24"/>
        </w:rPr>
        <w:t>000元/天的违约金，由此导致发包人遭受的经济损失超出违约金金额的，超出部分，承包人仍应负责赔偿。发包人有权从应付承包人的任何款项中直接扣除违约金及赔偿金。逾期超过</w:t>
      </w:r>
      <w:r>
        <w:rPr>
          <w:rFonts w:ascii="宋体" w:hAnsi="宋体" w:eastAsia="宋体" w:cs="宋体"/>
          <w:sz w:val="24"/>
        </w:rPr>
        <w:t>2</w:t>
      </w:r>
      <w:r>
        <w:rPr>
          <w:rFonts w:hint="eastAsia" w:ascii="宋体" w:hAnsi="宋体" w:eastAsia="宋体" w:cs="宋体"/>
          <w:sz w:val="24"/>
        </w:rPr>
        <w:t>0日，发包人有权解除合同。</w:t>
      </w:r>
    </w:p>
    <w:p>
      <w:pPr>
        <w:autoSpaceDE w:val="0"/>
        <w:autoSpaceDN w:val="0"/>
        <w:adjustRightInd w:val="0"/>
        <w:snapToGrid w:val="0"/>
        <w:spacing w:line="440" w:lineRule="exact"/>
        <w:ind w:firstLine="480" w:firstLineChars="200"/>
        <w:jc w:val="left"/>
        <w:rPr>
          <w:rFonts w:ascii="宋体" w:hAnsi="宋体" w:eastAsia="宋体" w:cs="宋体"/>
          <w:sz w:val="24"/>
        </w:rPr>
      </w:pPr>
      <w:r>
        <w:rPr>
          <w:rFonts w:ascii="宋体" w:hAnsi="宋体" w:eastAsia="宋体" w:cs="宋体"/>
          <w:sz w:val="24"/>
        </w:rPr>
        <w:t>3.3.</w:t>
      </w:r>
      <w:r>
        <w:rPr>
          <w:rFonts w:hint="eastAsia" w:ascii="宋体" w:hAnsi="宋体" w:eastAsia="宋体" w:cs="宋体"/>
          <w:sz w:val="24"/>
        </w:rPr>
        <w:t>各节点</w:t>
      </w:r>
      <w:r>
        <w:rPr>
          <w:rFonts w:ascii="宋体" w:hAnsi="宋体" w:eastAsia="宋体" w:cs="宋体"/>
          <w:sz w:val="24"/>
        </w:rPr>
        <w:t>延期</w:t>
      </w:r>
      <w:r>
        <w:rPr>
          <w:rFonts w:hint="eastAsia" w:ascii="宋体" w:hAnsi="宋体" w:eastAsia="宋体" w:cs="宋体"/>
          <w:sz w:val="24"/>
        </w:rPr>
        <w:t>（除验收节点外），除按5.3</w:t>
      </w:r>
      <w:r>
        <w:rPr>
          <w:rFonts w:ascii="宋体" w:hAnsi="宋体" w:eastAsia="宋体" w:cs="宋体"/>
          <w:sz w:val="24"/>
        </w:rPr>
        <w:t>.1</w:t>
      </w:r>
      <w:r>
        <w:rPr>
          <w:rFonts w:hint="eastAsia" w:ascii="宋体" w:hAnsi="宋体" w:eastAsia="宋体" w:cs="宋体"/>
          <w:sz w:val="24"/>
        </w:rPr>
        <w:t>条处罚以外，还需向发包人支付</w:t>
      </w:r>
      <w:r>
        <w:rPr>
          <w:rFonts w:ascii="宋体" w:hAnsi="宋体" w:eastAsia="宋体" w:cs="宋体"/>
          <w:sz w:val="24"/>
        </w:rPr>
        <w:t>1</w:t>
      </w:r>
      <w:r>
        <w:rPr>
          <w:rFonts w:hint="eastAsia" w:ascii="宋体" w:hAnsi="宋体" w:eastAsia="宋体" w:cs="宋体"/>
          <w:sz w:val="24"/>
        </w:rPr>
        <w:t>000元/天违约金，发包人有权在当期工程进度款中扣除；但总工期未拖延、工程质量未受影响，且不影响发包人使用，前期扣除的工期违约金，发包人可申请免除处罚。</w:t>
      </w:r>
    </w:p>
    <w:p>
      <w:pPr>
        <w:autoSpaceDE w:val="0"/>
        <w:autoSpaceDN w:val="0"/>
        <w:adjustRightInd w:val="0"/>
        <w:snapToGrid w:val="0"/>
        <w:spacing w:line="440" w:lineRule="exact"/>
        <w:ind w:firstLine="480" w:firstLineChars="200"/>
        <w:jc w:val="left"/>
        <w:rPr>
          <w:rFonts w:ascii="宋体" w:hAnsi="宋体" w:eastAsia="宋体" w:cs="宋体"/>
          <w:sz w:val="24"/>
        </w:rPr>
      </w:pPr>
      <w:r>
        <w:rPr>
          <w:rFonts w:ascii="宋体" w:hAnsi="宋体" w:eastAsia="宋体" w:cs="宋体"/>
          <w:sz w:val="24"/>
        </w:rPr>
        <w:t xml:space="preserve">3.4 </w:t>
      </w:r>
      <w:r>
        <w:rPr>
          <w:rFonts w:hint="eastAsia" w:ascii="宋体" w:hAnsi="宋体" w:eastAsia="宋体" w:cs="宋体"/>
          <w:sz w:val="24"/>
        </w:rPr>
        <w:t>验收关键节点延期，工程不能按合同工期竣工备案并移交发包人的，承包人应向发包人支付违约金</w:t>
      </w:r>
      <w:r>
        <w:rPr>
          <w:rFonts w:ascii="宋体" w:hAnsi="宋体" w:eastAsia="宋体" w:cs="宋体"/>
          <w:sz w:val="24"/>
        </w:rPr>
        <w:t>1</w:t>
      </w:r>
      <w:r>
        <w:rPr>
          <w:rFonts w:hint="eastAsia" w:ascii="宋体" w:hAnsi="宋体" w:eastAsia="宋体" w:cs="宋体"/>
          <w:sz w:val="24"/>
        </w:rPr>
        <w:t>万元外，每延误一天，还需支付违约金</w:t>
      </w:r>
      <w:r>
        <w:rPr>
          <w:rFonts w:ascii="宋体" w:hAnsi="宋体" w:eastAsia="宋体" w:cs="宋体"/>
          <w:sz w:val="24"/>
        </w:rPr>
        <w:t>1</w:t>
      </w:r>
      <w:r>
        <w:rPr>
          <w:rFonts w:hint="eastAsia" w:ascii="宋体" w:hAnsi="宋体" w:eastAsia="宋体" w:cs="宋体"/>
          <w:sz w:val="24"/>
        </w:rPr>
        <w:t>000元/天，发包人可要求承包人直接支付违约金，也可从支付给承包人的任何款项中直接扣除违约金，违约金的支付并不能免除承包人应完成工程的责任或本合同规定的其他责任。</w:t>
      </w:r>
    </w:p>
    <w:p>
      <w:pPr>
        <w:autoSpaceDE w:val="0"/>
        <w:autoSpaceDN w:val="0"/>
        <w:adjustRightInd w:val="0"/>
        <w:snapToGrid w:val="0"/>
        <w:spacing w:line="440" w:lineRule="exact"/>
        <w:ind w:firstLine="480" w:firstLineChars="200"/>
        <w:jc w:val="left"/>
        <w:rPr>
          <w:rFonts w:ascii="宋体" w:hAnsi="宋体" w:eastAsia="宋体" w:cs="宋体"/>
          <w:sz w:val="24"/>
        </w:rPr>
      </w:pPr>
      <w:r>
        <w:rPr>
          <w:rFonts w:ascii="宋体" w:hAnsi="宋体" w:eastAsia="宋体" w:cs="宋体"/>
          <w:sz w:val="24"/>
        </w:rPr>
        <w:t xml:space="preserve">3.5 </w:t>
      </w:r>
      <w:r>
        <w:rPr>
          <w:rFonts w:hint="eastAsia" w:ascii="宋体" w:hAnsi="宋体" w:eastAsia="宋体" w:cs="宋体"/>
          <w:sz w:val="24"/>
        </w:rPr>
        <w:t>以上施工进度的要求，承包方不得以工程进度款未支付理由拒绝施工、申请延期。如若有此类现象，承包单位将在科达公司供应商库中列入黑名单；</w:t>
      </w:r>
    </w:p>
    <w:p>
      <w:pPr>
        <w:autoSpaceDE w:val="0"/>
        <w:autoSpaceDN w:val="0"/>
        <w:adjustRightInd w:val="0"/>
        <w:snapToGrid w:val="0"/>
        <w:spacing w:line="440" w:lineRule="exact"/>
        <w:ind w:firstLine="480" w:firstLineChars="200"/>
        <w:jc w:val="left"/>
        <w:rPr>
          <w:rFonts w:ascii="宋体" w:hAnsi="宋体" w:eastAsia="宋体" w:cs="宋体"/>
          <w:sz w:val="24"/>
        </w:rPr>
      </w:pPr>
      <w:r>
        <w:rPr>
          <w:rFonts w:ascii="宋体" w:hAnsi="宋体" w:eastAsia="宋体" w:cs="宋体"/>
          <w:sz w:val="24"/>
        </w:rPr>
        <w:t xml:space="preserve">3.6 </w:t>
      </w:r>
      <w:r>
        <w:rPr>
          <w:rFonts w:hint="eastAsia" w:ascii="宋体" w:hAnsi="宋体" w:eastAsia="宋体" w:cs="宋体"/>
          <w:sz w:val="24"/>
        </w:rPr>
        <w:t>投标人必须充分考虑到如天气情况、停水、居民阻工和其他专业工序交叉作业等全部因素对工期及施工的影响。除非发包人要求，乙方不得因包括但不限于上述任何因素而要求工期顺延，不得因上述因素要求签证。</w:t>
      </w:r>
    </w:p>
    <w:p>
      <w:pPr>
        <w:autoSpaceDE w:val="0"/>
        <w:autoSpaceDN w:val="0"/>
        <w:adjustRightInd w:val="0"/>
        <w:snapToGrid w:val="0"/>
        <w:spacing w:line="440" w:lineRule="exact"/>
        <w:ind w:firstLine="480" w:firstLineChars="200"/>
        <w:jc w:val="left"/>
        <w:rPr>
          <w:rFonts w:ascii="宋体" w:hAnsi="宋体" w:eastAsia="宋体" w:cs="宋体"/>
          <w:sz w:val="24"/>
        </w:rPr>
      </w:pPr>
      <w:r>
        <w:rPr>
          <w:rFonts w:ascii="宋体" w:hAnsi="宋体" w:eastAsia="宋体" w:cs="宋体"/>
          <w:sz w:val="24"/>
        </w:rPr>
        <w:t xml:space="preserve">3.7 </w:t>
      </w:r>
      <w:r>
        <w:rPr>
          <w:rFonts w:hint="eastAsia" w:ascii="宋体" w:hAnsi="宋体" w:eastAsia="宋体" w:cs="宋体"/>
          <w:sz w:val="24"/>
        </w:rPr>
        <w:t>发包人有权在合同工期范围内下发阶段性专项计划指令，承包方需调配一切资源予以保证节点工期。</w:t>
      </w:r>
    </w:p>
    <w:p>
      <w:pPr>
        <w:pStyle w:val="22"/>
        <w:numPr>
          <w:ilvl w:val="0"/>
          <w:numId w:val="4"/>
        </w:numPr>
        <w:autoSpaceDE w:val="0"/>
        <w:autoSpaceDN w:val="0"/>
        <w:adjustRightInd w:val="0"/>
        <w:snapToGrid w:val="0"/>
        <w:spacing w:line="440" w:lineRule="exact"/>
        <w:ind w:firstLineChars="0"/>
        <w:jc w:val="left"/>
        <w:outlineLvl w:val="0"/>
        <w:rPr>
          <w:rFonts w:ascii="宋体" w:hAnsi="宋体" w:eastAsia="宋体"/>
          <w:b/>
          <w:bCs/>
          <w:sz w:val="24"/>
        </w:rPr>
      </w:pPr>
      <w:bookmarkStart w:id="6" w:name="_Toc14756"/>
      <w:r>
        <w:rPr>
          <w:rFonts w:hint="eastAsia" w:ascii="宋体" w:hAnsi="宋体" w:eastAsia="宋体"/>
          <w:b/>
          <w:bCs/>
          <w:sz w:val="24"/>
        </w:rPr>
        <w:t>质量标准：合格；</w:t>
      </w:r>
      <w:bookmarkEnd w:id="6"/>
    </w:p>
    <w:p>
      <w:pPr>
        <w:autoSpaceDE w:val="0"/>
        <w:autoSpaceDN w:val="0"/>
        <w:adjustRightInd w:val="0"/>
        <w:snapToGrid w:val="0"/>
        <w:spacing w:line="440" w:lineRule="exact"/>
        <w:ind w:firstLine="480" w:firstLineChars="200"/>
        <w:jc w:val="left"/>
        <w:rPr>
          <w:rFonts w:ascii="宋体" w:hAnsi="宋体" w:eastAsia="宋体" w:cs="宋体"/>
          <w:bCs/>
          <w:sz w:val="24"/>
        </w:rPr>
      </w:pPr>
      <w:r>
        <w:rPr>
          <w:rFonts w:hint="eastAsia" w:ascii="宋体" w:hAnsi="宋体" w:eastAsia="宋体" w:cs="宋体"/>
          <w:bCs/>
          <w:sz w:val="24"/>
        </w:rPr>
        <w:t>项目工程要求一次性验收“合格”（按现行国家建筑工程质量验收规范），如项目工程一次性验收达不到现行国家建筑工程质量验收合格标准的（以是否能在合同约定的时间内一次性获取相关部门签认合格的文件为准），乙方需向发包人支付合同工程结算总价</w:t>
      </w:r>
      <w:r>
        <w:rPr>
          <w:rFonts w:ascii="宋体" w:hAnsi="宋体" w:eastAsia="宋体" w:cs="宋体"/>
          <w:bCs/>
          <w:sz w:val="24"/>
        </w:rPr>
        <w:t>2%</w:t>
      </w:r>
      <w:r>
        <w:rPr>
          <w:rFonts w:hint="eastAsia" w:ascii="宋体" w:hAnsi="宋体" w:eastAsia="宋体" w:cs="宋体"/>
          <w:bCs/>
          <w:sz w:val="24"/>
        </w:rPr>
        <w:t>的质量违约金；</w:t>
      </w:r>
    </w:p>
    <w:p>
      <w:pPr>
        <w:pStyle w:val="22"/>
        <w:numPr>
          <w:ilvl w:val="0"/>
          <w:numId w:val="4"/>
        </w:numPr>
        <w:autoSpaceDE w:val="0"/>
        <w:autoSpaceDN w:val="0"/>
        <w:adjustRightInd w:val="0"/>
        <w:snapToGrid w:val="0"/>
        <w:spacing w:line="440" w:lineRule="exact"/>
        <w:ind w:firstLineChars="0"/>
        <w:jc w:val="left"/>
        <w:outlineLvl w:val="0"/>
        <w:rPr>
          <w:rFonts w:ascii="宋体" w:hAnsi="宋体" w:eastAsia="宋体"/>
          <w:b/>
          <w:bCs/>
          <w:sz w:val="24"/>
        </w:rPr>
      </w:pPr>
      <w:bookmarkStart w:id="7" w:name="_Toc25670"/>
      <w:r>
        <w:rPr>
          <w:rFonts w:hint="eastAsia" w:ascii="宋体" w:hAnsi="宋体" w:eastAsia="宋体"/>
          <w:b/>
          <w:bCs/>
          <w:sz w:val="24"/>
        </w:rPr>
        <w:t>管理要求</w:t>
      </w:r>
      <w:bookmarkEnd w:id="7"/>
    </w:p>
    <w:p>
      <w:pPr>
        <w:pStyle w:val="22"/>
        <w:numPr>
          <w:ilvl w:val="1"/>
          <w:numId w:val="4"/>
        </w:numPr>
        <w:autoSpaceDE w:val="0"/>
        <w:autoSpaceDN w:val="0"/>
        <w:adjustRightInd w:val="0"/>
        <w:snapToGrid w:val="0"/>
        <w:spacing w:line="440" w:lineRule="exact"/>
        <w:ind w:firstLineChars="0"/>
        <w:jc w:val="left"/>
        <w:outlineLvl w:val="1"/>
        <w:rPr>
          <w:rFonts w:ascii="宋体" w:hAnsi="宋体" w:eastAsia="宋体"/>
          <w:bCs/>
          <w:sz w:val="24"/>
        </w:rPr>
      </w:pPr>
      <w:r>
        <w:rPr>
          <w:rFonts w:hint="eastAsia" w:ascii="宋体" w:hAnsi="宋体" w:eastAsia="宋体"/>
          <w:bCs/>
          <w:sz w:val="24"/>
        </w:rPr>
        <w:t>项目部管理人员配置要求（不允许兼职）：</w:t>
      </w:r>
      <w:r>
        <w:rPr>
          <w:rFonts w:ascii="宋体" w:hAnsi="宋体" w:eastAsia="宋体"/>
          <w:bCs/>
          <w:sz w:val="24"/>
        </w:rPr>
        <w:t xml:space="preserve"> </w:t>
      </w:r>
    </w:p>
    <w:p>
      <w:pPr>
        <w:autoSpaceDE w:val="0"/>
        <w:autoSpaceDN w:val="0"/>
        <w:adjustRightInd w:val="0"/>
        <w:snapToGrid w:val="0"/>
        <w:spacing w:line="440" w:lineRule="exact"/>
        <w:ind w:left="567"/>
        <w:jc w:val="left"/>
        <w:rPr>
          <w:rFonts w:ascii="宋体" w:hAnsi="宋体" w:eastAsia="宋体"/>
          <w:sz w:val="24"/>
        </w:rPr>
      </w:pPr>
      <w:r>
        <w:rPr>
          <w:rFonts w:hint="eastAsia" w:ascii="宋体" w:hAnsi="宋体" w:eastAsia="宋体"/>
          <w:bCs/>
          <w:sz w:val="24"/>
        </w:rPr>
        <w:t>管理人员需当地</w:t>
      </w:r>
      <w:r>
        <w:rPr>
          <w:rFonts w:ascii="宋体" w:hAnsi="宋体" w:eastAsia="宋体"/>
          <w:bCs/>
          <w:sz w:val="24"/>
        </w:rPr>
        <w:t>建设标准</w:t>
      </w:r>
      <w:r>
        <w:rPr>
          <w:rFonts w:hint="eastAsia" w:ascii="宋体" w:hAnsi="宋体" w:eastAsia="宋体"/>
          <w:bCs/>
          <w:sz w:val="24"/>
        </w:rPr>
        <w:t>要求进行所有备案工作；</w:t>
      </w:r>
      <w:r>
        <w:rPr>
          <w:rFonts w:ascii="宋体" w:hAnsi="宋体" w:eastAsia="宋体"/>
          <w:bCs/>
          <w:sz w:val="24"/>
        </w:rPr>
        <w:t>并按实际配置</w:t>
      </w:r>
      <w:r>
        <w:rPr>
          <w:rFonts w:hint="eastAsia" w:ascii="宋体" w:hAnsi="宋体" w:eastAsia="宋体"/>
          <w:bCs/>
          <w:sz w:val="24"/>
        </w:rPr>
        <w:t>管理</w:t>
      </w:r>
      <w:r>
        <w:rPr>
          <w:rFonts w:ascii="宋体" w:hAnsi="宋体" w:eastAsia="宋体"/>
          <w:bCs/>
          <w:sz w:val="24"/>
        </w:rPr>
        <w:t>班组</w:t>
      </w:r>
      <w:r>
        <w:rPr>
          <w:rFonts w:hint="eastAsia" w:ascii="宋体" w:hAnsi="宋体" w:eastAsia="宋体"/>
          <w:bCs/>
          <w:sz w:val="24"/>
        </w:rPr>
        <w:t>，</w:t>
      </w:r>
      <w:r>
        <w:rPr>
          <w:rFonts w:ascii="宋体" w:hAnsi="宋体" w:eastAsia="宋体" w:cs="宋体"/>
          <w:sz w:val="24"/>
        </w:rPr>
        <w:t>班组人员</w:t>
      </w:r>
      <w:r>
        <w:rPr>
          <w:rFonts w:hint="eastAsia" w:ascii="宋体" w:hAnsi="宋体" w:eastAsia="宋体" w:cs="宋体"/>
          <w:sz w:val="24"/>
        </w:rPr>
        <w:t>不少于</w:t>
      </w:r>
      <w:r>
        <w:rPr>
          <w:rFonts w:ascii="宋体" w:hAnsi="宋体" w:eastAsia="宋体" w:cs="宋体"/>
          <w:sz w:val="24"/>
        </w:rPr>
        <w:t>5</w:t>
      </w:r>
      <w:r>
        <w:rPr>
          <w:rFonts w:hint="eastAsia" w:ascii="宋体" w:hAnsi="宋体" w:eastAsia="宋体" w:cs="宋体"/>
          <w:sz w:val="24"/>
        </w:rPr>
        <w:t>人，建议项目组织架构配置</w:t>
      </w:r>
      <w:r>
        <w:rPr>
          <w:rFonts w:hint="eastAsia" w:ascii="宋体" w:hAnsi="宋体" w:eastAsia="宋体"/>
          <w:bCs/>
          <w:sz w:val="24"/>
        </w:rPr>
        <w:t>应包含：</w:t>
      </w:r>
      <w:r>
        <w:rPr>
          <w:rFonts w:hint="eastAsia" w:ascii="宋体" w:hAnsi="宋体" w:eastAsia="宋体" w:cs="宋体"/>
          <w:sz w:val="24"/>
        </w:rPr>
        <w:t>项目经理</w:t>
      </w:r>
      <w:r>
        <w:rPr>
          <w:rFonts w:ascii="宋体" w:hAnsi="宋体" w:eastAsia="宋体" w:cs="宋体"/>
          <w:sz w:val="24"/>
        </w:rPr>
        <w:t>1</w:t>
      </w:r>
      <w:r>
        <w:rPr>
          <w:rFonts w:hint="eastAsia" w:ascii="宋体" w:hAnsi="宋体" w:eastAsia="宋体" w:cs="宋体"/>
          <w:sz w:val="24"/>
        </w:rPr>
        <w:t>人、技术负责人</w:t>
      </w:r>
      <w:r>
        <w:rPr>
          <w:rFonts w:ascii="宋体" w:hAnsi="宋体" w:eastAsia="宋体" w:cs="宋体"/>
          <w:sz w:val="24"/>
        </w:rPr>
        <w:t>1</w:t>
      </w:r>
      <w:r>
        <w:rPr>
          <w:rFonts w:hint="eastAsia" w:ascii="宋体" w:hAnsi="宋体" w:eastAsia="宋体" w:cs="宋体"/>
          <w:sz w:val="24"/>
        </w:rPr>
        <w:t>人、</w:t>
      </w:r>
      <w:r>
        <w:rPr>
          <w:rFonts w:hint="eastAsia" w:ascii="宋体" w:hAnsi="宋体" w:eastAsia="宋体" w:cs="宋体"/>
          <w:sz w:val="24"/>
          <w:lang w:val="en-US" w:eastAsia="zh-CN"/>
        </w:rPr>
        <w:t>电气</w:t>
      </w:r>
      <w:r>
        <w:rPr>
          <w:rFonts w:hint="eastAsia" w:ascii="宋体" w:hAnsi="宋体" w:eastAsia="宋体" w:cs="宋体"/>
          <w:sz w:val="24"/>
        </w:rPr>
        <w:t>专业工程师</w:t>
      </w:r>
      <w:r>
        <w:rPr>
          <w:rFonts w:ascii="宋体" w:hAnsi="宋体" w:eastAsia="宋体" w:cs="宋体"/>
          <w:sz w:val="24"/>
        </w:rPr>
        <w:t>1</w:t>
      </w:r>
      <w:r>
        <w:rPr>
          <w:rFonts w:hint="eastAsia" w:ascii="宋体" w:hAnsi="宋体" w:eastAsia="宋体" w:cs="宋体"/>
          <w:sz w:val="24"/>
        </w:rPr>
        <w:t>人、安全员</w:t>
      </w:r>
      <w:r>
        <w:rPr>
          <w:rFonts w:ascii="宋体" w:hAnsi="宋体" w:eastAsia="宋体" w:cs="宋体"/>
          <w:sz w:val="24"/>
        </w:rPr>
        <w:t>1</w:t>
      </w:r>
      <w:r>
        <w:rPr>
          <w:rFonts w:hint="eastAsia" w:ascii="宋体" w:hAnsi="宋体" w:eastAsia="宋体" w:cs="宋体"/>
          <w:sz w:val="24"/>
        </w:rPr>
        <w:t>人、资料员1</w:t>
      </w:r>
      <w:r>
        <w:rPr>
          <w:rFonts w:ascii="宋体" w:hAnsi="宋体" w:eastAsia="宋体" w:cs="宋体"/>
          <w:sz w:val="24"/>
        </w:rPr>
        <w:t>人</w:t>
      </w:r>
      <w:r>
        <w:rPr>
          <w:rFonts w:hint="eastAsia" w:ascii="宋体" w:hAnsi="宋体" w:eastAsia="宋体"/>
          <w:bCs/>
          <w:sz w:val="24"/>
        </w:rPr>
        <w:t>等。现场项目经理及关键</w:t>
      </w:r>
      <w:r>
        <w:rPr>
          <w:rFonts w:ascii="宋体" w:hAnsi="宋体" w:eastAsia="宋体"/>
          <w:bCs/>
          <w:sz w:val="24"/>
        </w:rPr>
        <w:t>人员</w:t>
      </w:r>
      <w:r>
        <w:rPr>
          <w:rFonts w:hint="eastAsia" w:ascii="宋体" w:hAnsi="宋体" w:eastAsia="宋体"/>
          <w:bCs/>
          <w:sz w:val="24"/>
        </w:rPr>
        <w:t>应与投标时的人员相一致，未经发包人同意不得更换。</w:t>
      </w:r>
    </w:p>
    <w:p>
      <w:pPr>
        <w:pStyle w:val="22"/>
        <w:numPr>
          <w:ilvl w:val="1"/>
          <w:numId w:val="4"/>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承包人承诺按照我司要求的考勤方式管理人员的出勤情况，项目经理和主要施工管理人离开工地未向发包人现场代表书面请假并获得批准，按</w:t>
      </w:r>
      <w:r>
        <w:rPr>
          <w:rFonts w:ascii="宋体" w:hAnsi="宋体" w:eastAsia="宋体"/>
          <w:bCs/>
          <w:sz w:val="24"/>
        </w:rPr>
        <w:t>1</w:t>
      </w:r>
      <w:r>
        <w:rPr>
          <w:rFonts w:hint="eastAsia" w:ascii="宋体" w:hAnsi="宋体" w:eastAsia="宋体"/>
          <w:bCs/>
          <w:sz w:val="24"/>
        </w:rPr>
        <w:t>000元/天的违约金索赔、请假后无正当理由超假的按</w:t>
      </w:r>
      <w:r>
        <w:rPr>
          <w:rFonts w:ascii="宋体" w:hAnsi="宋体" w:eastAsia="宋体"/>
          <w:bCs/>
          <w:sz w:val="24"/>
        </w:rPr>
        <w:t>500</w:t>
      </w:r>
      <w:r>
        <w:rPr>
          <w:rFonts w:hint="eastAsia" w:ascii="宋体" w:hAnsi="宋体" w:eastAsia="宋体"/>
          <w:bCs/>
          <w:sz w:val="24"/>
        </w:rPr>
        <w:t>元/天的违约金索赔。未经发包人书面同意，项目经理及技术负责人每更换一次，承包人须支付违约金人民币</w:t>
      </w:r>
      <w:r>
        <w:rPr>
          <w:rFonts w:ascii="宋体" w:hAnsi="宋体" w:eastAsia="宋体"/>
          <w:bCs/>
          <w:sz w:val="24"/>
        </w:rPr>
        <w:t>20000</w:t>
      </w:r>
      <w:r>
        <w:rPr>
          <w:rFonts w:hint="eastAsia" w:ascii="宋体" w:hAnsi="宋体" w:eastAsia="宋体"/>
          <w:bCs/>
          <w:sz w:val="24"/>
        </w:rPr>
        <w:t>元；</w:t>
      </w:r>
      <w:r>
        <w:rPr>
          <w:rFonts w:ascii="宋体" w:hAnsi="宋体" w:eastAsia="宋体"/>
          <w:bCs/>
          <w:sz w:val="24"/>
        </w:rPr>
        <w:t xml:space="preserve"> </w:t>
      </w:r>
    </w:p>
    <w:p>
      <w:pPr>
        <w:pStyle w:val="22"/>
        <w:numPr>
          <w:ilvl w:val="1"/>
          <w:numId w:val="4"/>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合同后需附项目管理人员名单、职称、证书编号及联系电话等。</w:t>
      </w:r>
    </w:p>
    <w:p>
      <w:pPr>
        <w:pStyle w:val="22"/>
        <w:numPr>
          <w:ilvl w:val="1"/>
          <w:numId w:val="4"/>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承包人项目经理、项目技术负责人、必须参加每周工程例会。承包人人员不按时参加相关会议，每次会议，承包人应按照缺席人数向发包人支付人民币500元/人次的违约金。</w:t>
      </w:r>
    </w:p>
    <w:p>
      <w:pPr>
        <w:pStyle w:val="22"/>
        <w:numPr>
          <w:ilvl w:val="1"/>
          <w:numId w:val="4"/>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承包人应当确保其派至本项目的核心岗位（</w:t>
      </w:r>
      <w:r>
        <w:rPr>
          <w:rFonts w:hint="eastAsia" w:ascii="宋体" w:hAnsi="宋体"/>
          <w:bCs/>
          <w:sz w:val="24"/>
          <w:lang w:val="en-US" w:eastAsia="zh-CN"/>
        </w:rPr>
        <w:t>电力</w:t>
      </w:r>
      <w:r>
        <w:rPr>
          <w:rFonts w:hint="eastAsia" w:ascii="宋体" w:hAnsi="宋体" w:eastAsia="宋体"/>
          <w:bCs/>
          <w:sz w:val="24"/>
        </w:rPr>
        <w:t>专业工程师）人员的稳定性。未经发包人同意，承包人的核心管理人员不得撤离或调离本项目，否则承包人应当按照撤离或调离的人数向发包人支付违约金人民币</w:t>
      </w:r>
      <w:r>
        <w:rPr>
          <w:rFonts w:ascii="宋体" w:hAnsi="宋体" w:eastAsia="宋体"/>
          <w:bCs/>
          <w:sz w:val="24"/>
        </w:rPr>
        <w:t>1000</w:t>
      </w:r>
      <w:r>
        <w:rPr>
          <w:rFonts w:hint="eastAsia" w:ascii="宋体" w:hAnsi="宋体" w:eastAsia="宋体"/>
          <w:bCs/>
          <w:sz w:val="24"/>
        </w:rPr>
        <w:t>元/人次。</w:t>
      </w:r>
    </w:p>
    <w:p>
      <w:pPr>
        <w:pStyle w:val="22"/>
        <w:numPr>
          <w:ilvl w:val="1"/>
          <w:numId w:val="4"/>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因承包人劳动人员组织不力，工程材料以及施工机具设备、 周转材料等组织不到位，而影响工程进度或对其它施工单位的进度造成影响 ，扣罚管理费</w:t>
      </w:r>
      <w:r>
        <w:rPr>
          <w:rFonts w:ascii="宋体" w:hAnsi="宋体" w:eastAsia="宋体"/>
          <w:bCs/>
          <w:sz w:val="24"/>
        </w:rPr>
        <w:t>5</w:t>
      </w:r>
      <w:r>
        <w:rPr>
          <w:rFonts w:hint="eastAsia" w:ascii="宋体" w:hAnsi="宋体" w:eastAsia="宋体"/>
          <w:bCs/>
          <w:sz w:val="24"/>
        </w:rPr>
        <w:t>000元/次。</w:t>
      </w:r>
    </w:p>
    <w:p>
      <w:pPr>
        <w:pStyle w:val="22"/>
        <w:numPr>
          <w:ilvl w:val="1"/>
          <w:numId w:val="4"/>
        </w:numPr>
        <w:autoSpaceDE w:val="0"/>
        <w:autoSpaceDN w:val="0"/>
        <w:adjustRightInd w:val="0"/>
        <w:snapToGrid w:val="0"/>
        <w:spacing w:line="440" w:lineRule="exact"/>
        <w:ind w:firstLineChars="0"/>
        <w:jc w:val="left"/>
        <w:outlineLvl w:val="1"/>
        <w:rPr>
          <w:rFonts w:ascii="宋体" w:hAnsi="宋体" w:eastAsia="宋体"/>
          <w:bCs/>
          <w:sz w:val="24"/>
        </w:rPr>
      </w:pPr>
      <w:r>
        <w:rPr>
          <w:rFonts w:hint="eastAsia" w:ascii="宋体" w:hAnsi="宋体" w:eastAsia="宋体"/>
          <w:bCs/>
          <w:sz w:val="24"/>
        </w:rPr>
        <w:t>对拟派项目经理的要求：</w:t>
      </w:r>
      <w:r>
        <w:rPr>
          <w:rFonts w:ascii="宋体" w:hAnsi="宋体" w:eastAsia="宋体"/>
          <w:bCs/>
          <w:color w:val="FF0000"/>
          <w:sz w:val="24"/>
        </w:rPr>
        <w:t xml:space="preserve"> </w:t>
      </w:r>
    </w:p>
    <w:p>
      <w:pPr>
        <w:pStyle w:val="22"/>
        <w:numPr>
          <w:ilvl w:val="0"/>
          <w:numId w:val="5"/>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拟委任项目经理须具备</w:t>
      </w:r>
      <w:r>
        <w:rPr>
          <w:rFonts w:hint="eastAsia" w:ascii="宋体" w:hAnsi="宋体" w:eastAsia="宋体"/>
          <w:bCs/>
          <w:sz w:val="24"/>
          <w:lang w:val="en-US" w:eastAsia="zh-CN"/>
        </w:rPr>
        <w:t>机电</w:t>
      </w:r>
      <w:r>
        <w:rPr>
          <w:rFonts w:hint="eastAsia" w:ascii="宋体" w:hAnsi="宋体" w:eastAsia="宋体"/>
          <w:bCs/>
          <w:sz w:val="24"/>
        </w:rPr>
        <w:t>工程专业二级及以上注册建造师资格，具备有效的安全生产考核合格证书。</w:t>
      </w:r>
    </w:p>
    <w:p>
      <w:pPr>
        <w:pStyle w:val="22"/>
        <w:numPr>
          <w:ilvl w:val="0"/>
          <w:numId w:val="5"/>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拟派项目经理必须担任过至少</w:t>
      </w:r>
      <w:r>
        <w:rPr>
          <w:rFonts w:hint="eastAsia" w:ascii="宋体" w:hAnsi="宋体" w:eastAsia="宋体"/>
          <w:bCs/>
          <w:sz w:val="24"/>
          <w:lang w:val="en-US" w:eastAsia="zh-CN"/>
        </w:rPr>
        <w:t>一</w:t>
      </w:r>
      <w:r>
        <w:rPr>
          <w:rFonts w:hint="eastAsia" w:ascii="宋体" w:hAnsi="宋体" w:eastAsia="宋体"/>
          <w:bCs/>
          <w:sz w:val="24"/>
        </w:rPr>
        <w:t>个单项合同总额≥</w:t>
      </w:r>
      <w:r>
        <w:rPr>
          <w:rFonts w:hint="eastAsia" w:ascii="宋体" w:hAnsi="宋体" w:eastAsia="宋体"/>
          <w:bCs/>
          <w:sz w:val="24"/>
          <w:lang w:val="en-US" w:eastAsia="zh-CN"/>
        </w:rPr>
        <w:t>20</w:t>
      </w:r>
      <w:r>
        <w:rPr>
          <w:rFonts w:ascii="宋体" w:hAnsi="宋体" w:eastAsia="宋体"/>
          <w:bCs/>
          <w:sz w:val="24"/>
        </w:rPr>
        <w:t>0</w:t>
      </w:r>
      <w:r>
        <w:rPr>
          <w:rFonts w:hint="eastAsia" w:ascii="宋体" w:hAnsi="宋体" w:eastAsia="宋体"/>
          <w:bCs/>
          <w:sz w:val="24"/>
        </w:rPr>
        <w:t>万元的</w:t>
      </w:r>
      <w:r>
        <w:rPr>
          <w:rFonts w:hint="eastAsia" w:ascii="宋体" w:hAnsi="宋体" w:eastAsia="宋体"/>
          <w:bCs/>
          <w:sz w:val="24"/>
          <w:lang w:val="en-US" w:eastAsia="zh-CN"/>
        </w:rPr>
        <w:t>电力安装</w:t>
      </w:r>
      <w:r>
        <w:rPr>
          <w:rFonts w:hint="eastAsia" w:ascii="宋体" w:hAnsi="宋体" w:eastAsia="宋体"/>
          <w:bCs/>
          <w:sz w:val="24"/>
        </w:rPr>
        <w:t>工程施工项目经理。</w:t>
      </w:r>
    </w:p>
    <w:p>
      <w:pPr>
        <w:pStyle w:val="22"/>
        <w:numPr>
          <w:ilvl w:val="1"/>
          <w:numId w:val="4"/>
        </w:numPr>
        <w:autoSpaceDE w:val="0"/>
        <w:autoSpaceDN w:val="0"/>
        <w:adjustRightInd w:val="0"/>
        <w:snapToGrid w:val="0"/>
        <w:spacing w:line="440" w:lineRule="exact"/>
        <w:ind w:firstLineChars="0"/>
        <w:jc w:val="left"/>
        <w:outlineLvl w:val="1"/>
        <w:rPr>
          <w:rFonts w:ascii="宋体" w:hAnsi="宋体" w:eastAsia="宋体"/>
          <w:bCs/>
          <w:sz w:val="24"/>
        </w:rPr>
      </w:pPr>
      <w:r>
        <w:rPr>
          <w:rFonts w:hint="eastAsia" w:ascii="宋体" w:hAnsi="宋体" w:eastAsia="宋体"/>
          <w:bCs/>
          <w:sz w:val="24"/>
        </w:rPr>
        <w:t>对拟派技术负责人的要求：</w:t>
      </w:r>
    </w:p>
    <w:p>
      <w:pPr>
        <w:pStyle w:val="22"/>
        <w:numPr>
          <w:ilvl w:val="0"/>
          <w:numId w:val="6"/>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须具有</w:t>
      </w:r>
      <w:r>
        <w:rPr>
          <w:rFonts w:hint="eastAsia" w:ascii="宋体" w:hAnsi="宋体" w:eastAsia="宋体"/>
          <w:bCs/>
          <w:sz w:val="24"/>
          <w:lang w:val="en-US" w:eastAsia="zh-CN"/>
        </w:rPr>
        <w:t>机电</w:t>
      </w:r>
      <w:r>
        <w:rPr>
          <w:rFonts w:hint="eastAsia" w:ascii="宋体" w:hAnsi="宋体" w:eastAsia="宋体"/>
          <w:bCs/>
          <w:sz w:val="24"/>
        </w:rPr>
        <w:t>相关专业</w:t>
      </w:r>
      <w:r>
        <w:rPr>
          <w:rFonts w:hint="eastAsia" w:ascii="宋体" w:hAnsi="宋体" w:eastAsia="宋体"/>
          <w:bCs/>
          <w:sz w:val="24"/>
          <w:u w:val="single"/>
        </w:rPr>
        <w:t>中级（或以上级）</w:t>
      </w:r>
      <w:r>
        <w:rPr>
          <w:rFonts w:hint="eastAsia" w:ascii="宋体" w:hAnsi="宋体" w:eastAsia="宋体"/>
          <w:bCs/>
          <w:sz w:val="24"/>
        </w:rPr>
        <w:t>职称（职称证书应以人社部门或者在人社部门核准备案的职称评审委员会或人社部门授权具备颁发资格的机构及公司颁发的为准）。</w:t>
      </w:r>
    </w:p>
    <w:p>
      <w:pPr>
        <w:pStyle w:val="22"/>
        <w:numPr>
          <w:ilvl w:val="0"/>
          <w:numId w:val="6"/>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拟派技术负责人必须担任过至少</w:t>
      </w:r>
      <w:r>
        <w:rPr>
          <w:rFonts w:hint="eastAsia" w:ascii="宋体" w:hAnsi="宋体"/>
          <w:bCs/>
          <w:sz w:val="24"/>
          <w:lang w:val="en-US" w:eastAsia="zh-CN"/>
        </w:rPr>
        <w:t>一</w:t>
      </w:r>
      <w:r>
        <w:rPr>
          <w:rFonts w:hint="eastAsia" w:ascii="宋体" w:hAnsi="宋体" w:eastAsia="宋体"/>
          <w:bCs/>
          <w:sz w:val="24"/>
        </w:rPr>
        <w:t>个单项合同总额≥</w:t>
      </w:r>
      <w:r>
        <w:rPr>
          <w:rFonts w:hint="eastAsia" w:ascii="宋体" w:hAnsi="宋体" w:eastAsia="宋体"/>
          <w:bCs/>
          <w:sz w:val="24"/>
          <w:lang w:val="en-US" w:eastAsia="zh-CN"/>
        </w:rPr>
        <w:t>20</w:t>
      </w:r>
      <w:r>
        <w:rPr>
          <w:rFonts w:ascii="宋体" w:hAnsi="宋体" w:eastAsia="宋体"/>
          <w:bCs/>
          <w:sz w:val="24"/>
        </w:rPr>
        <w:t>0</w:t>
      </w:r>
      <w:r>
        <w:rPr>
          <w:rFonts w:hint="eastAsia" w:ascii="宋体" w:hAnsi="宋体" w:eastAsia="宋体"/>
          <w:bCs/>
          <w:sz w:val="24"/>
        </w:rPr>
        <w:t>万元的</w:t>
      </w:r>
      <w:r>
        <w:rPr>
          <w:rFonts w:hint="eastAsia" w:ascii="宋体" w:hAnsi="宋体" w:eastAsia="宋体"/>
          <w:bCs/>
          <w:sz w:val="24"/>
          <w:lang w:val="en-US" w:eastAsia="zh-CN"/>
        </w:rPr>
        <w:t>电力安装</w:t>
      </w:r>
      <w:r>
        <w:rPr>
          <w:rFonts w:hint="eastAsia" w:ascii="宋体" w:hAnsi="宋体" w:eastAsia="宋体"/>
          <w:bCs/>
          <w:sz w:val="24"/>
        </w:rPr>
        <w:t>工程施工技术负责人。</w:t>
      </w:r>
    </w:p>
    <w:p>
      <w:pPr>
        <w:pStyle w:val="22"/>
        <w:numPr>
          <w:ilvl w:val="1"/>
          <w:numId w:val="4"/>
        </w:numPr>
        <w:autoSpaceDE w:val="0"/>
        <w:autoSpaceDN w:val="0"/>
        <w:adjustRightInd w:val="0"/>
        <w:snapToGrid w:val="0"/>
        <w:spacing w:line="440" w:lineRule="exact"/>
        <w:ind w:firstLineChars="0"/>
        <w:jc w:val="left"/>
        <w:outlineLvl w:val="1"/>
        <w:rPr>
          <w:rFonts w:ascii="宋体" w:hAnsi="宋体" w:eastAsia="宋体"/>
          <w:bCs/>
          <w:sz w:val="24"/>
        </w:rPr>
      </w:pPr>
      <w:r>
        <w:rPr>
          <w:rFonts w:hint="eastAsia" w:ascii="宋体" w:hAnsi="宋体" w:eastAsia="宋体"/>
          <w:bCs/>
          <w:sz w:val="24"/>
        </w:rPr>
        <w:t>对专职安全人员的要求：</w:t>
      </w:r>
      <w:r>
        <w:rPr>
          <w:rFonts w:ascii="宋体" w:hAnsi="宋体" w:eastAsia="宋体"/>
          <w:bCs/>
          <w:sz w:val="24"/>
        </w:rPr>
        <w:t xml:space="preserve"> </w:t>
      </w:r>
    </w:p>
    <w:p>
      <w:pPr>
        <w:pStyle w:val="22"/>
        <w:numPr>
          <w:ilvl w:val="0"/>
          <w:numId w:val="7"/>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专职安全人员</w:t>
      </w:r>
      <w:r>
        <w:rPr>
          <w:rFonts w:ascii="宋体" w:hAnsi="宋体" w:eastAsia="宋体"/>
          <w:bCs/>
          <w:sz w:val="24"/>
          <w:u w:val="single"/>
        </w:rPr>
        <w:t>1</w:t>
      </w:r>
      <w:r>
        <w:rPr>
          <w:rFonts w:hint="eastAsia" w:ascii="宋体" w:hAnsi="宋体" w:eastAsia="宋体"/>
          <w:bCs/>
          <w:sz w:val="24"/>
          <w:u w:val="single"/>
        </w:rPr>
        <w:t>名</w:t>
      </w:r>
      <w:r>
        <w:rPr>
          <w:rFonts w:hint="eastAsia" w:ascii="宋体" w:hAnsi="宋体" w:eastAsia="宋体"/>
          <w:bCs/>
          <w:sz w:val="24"/>
        </w:rPr>
        <w:t>，须具有有效的安全生产考核合格证（C证）（申请人可提供所在省份相关建筑施工企业管理人员安全生产考核信息系统的证书查询信息网页打印件或电子证照打印件），且申请人为在职人员。</w:t>
      </w:r>
    </w:p>
    <w:p>
      <w:pPr>
        <w:pStyle w:val="22"/>
        <w:numPr>
          <w:ilvl w:val="1"/>
          <w:numId w:val="4"/>
        </w:numPr>
        <w:autoSpaceDE w:val="0"/>
        <w:autoSpaceDN w:val="0"/>
        <w:adjustRightInd w:val="0"/>
        <w:snapToGrid w:val="0"/>
        <w:spacing w:line="440" w:lineRule="exact"/>
        <w:ind w:firstLineChars="0"/>
        <w:jc w:val="left"/>
        <w:outlineLvl w:val="1"/>
        <w:rPr>
          <w:rFonts w:ascii="宋体" w:hAnsi="宋体" w:eastAsia="宋体"/>
          <w:bCs/>
          <w:sz w:val="24"/>
        </w:rPr>
      </w:pPr>
      <w:r>
        <w:rPr>
          <w:rFonts w:hint="eastAsia" w:ascii="宋体" w:hAnsi="宋体" w:eastAsia="宋体"/>
          <w:bCs/>
          <w:sz w:val="24"/>
        </w:rPr>
        <w:t>安全文明管理要求</w:t>
      </w:r>
    </w:p>
    <w:p>
      <w:pPr>
        <w:autoSpaceDE w:val="0"/>
        <w:autoSpaceDN w:val="0"/>
        <w:adjustRightInd w:val="0"/>
        <w:snapToGrid w:val="0"/>
        <w:spacing w:line="440" w:lineRule="exact"/>
        <w:ind w:firstLine="480" w:firstLineChars="200"/>
        <w:jc w:val="left"/>
        <w:rPr>
          <w:rFonts w:ascii="宋体" w:hAnsi="宋体" w:eastAsia="宋体"/>
          <w:bCs/>
          <w:sz w:val="24"/>
        </w:rPr>
      </w:pPr>
      <w:r>
        <w:rPr>
          <w:rFonts w:ascii="宋体" w:hAnsi="宋体" w:eastAsia="宋体"/>
          <w:bCs/>
          <w:sz w:val="24"/>
        </w:rPr>
        <w:t>一、材料调运、存放</w:t>
      </w:r>
    </w:p>
    <w:p>
      <w:pPr>
        <w:pStyle w:val="22"/>
        <w:autoSpaceDE w:val="0"/>
        <w:autoSpaceDN w:val="0"/>
        <w:adjustRightInd w:val="0"/>
        <w:snapToGrid w:val="0"/>
        <w:spacing w:line="440" w:lineRule="exact"/>
        <w:ind w:left="178" w:hanging="177" w:hangingChars="74"/>
        <w:jc w:val="left"/>
        <w:rPr>
          <w:rFonts w:ascii="宋体" w:hAnsi="宋体" w:eastAsia="宋体"/>
          <w:bCs/>
          <w:sz w:val="24"/>
        </w:rPr>
      </w:pPr>
      <w:r>
        <w:rPr>
          <w:rFonts w:ascii="宋体" w:hAnsi="宋体" w:eastAsia="宋体"/>
          <w:bCs/>
          <w:sz w:val="24"/>
        </w:rPr>
        <w:t xml:space="preserve">   </w:t>
      </w:r>
      <w:r>
        <w:rPr>
          <w:rFonts w:hint="eastAsia" w:ascii="宋体" w:hAnsi="宋体" w:eastAsia="宋体"/>
          <w:bCs/>
          <w:sz w:val="24"/>
        </w:rPr>
        <w:t>a</w:t>
      </w:r>
      <w:r>
        <w:rPr>
          <w:rFonts w:ascii="宋体" w:hAnsi="宋体" w:eastAsia="宋体"/>
          <w:bCs/>
          <w:sz w:val="24"/>
        </w:rPr>
        <w:t>)、材料调运过程应设置专人安全监护，做好安全隔离。</w:t>
      </w:r>
    </w:p>
    <w:p>
      <w:pPr>
        <w:pStyle w:val="22"/>
        <w:autoSpaceDE w:val="0"/>
        <w:autoSpaceDN w:val="0"/>
        <w:adjustRightInd w:val="0"/>
        <w:snapToGrid w:val="0"/>
        <w:spacing w:line="440" w:lineRule="exact"/>
        <w:ind w:left="418" w:hanging="417" w:hangingChars="174"/>
        <w:jc w:val="left"/>
        <w:rPr>
          <w:rFonts w:ascii="宋体" w:hAnsi="宋体" w:eastAsia="宋体"/>
          <w:bCs/>
          <w:sz w:val="24"/>
        </w:rPr>
      </w:pPr>
      <w:r>
        <w:rPr>
          <w:rFonts w:ascii="宋体" w:hAnsi="宋体" w:eastAsia="宋体"/>
          <w:bCs/>
          <w:sz w:val="24"/>
        </w:rPr>
        <w:t xml:space="preserve">   b)、吊装时地面作业人员应扶住材料防止晃动，待调运材料升高至 0.5米，确认正常后， 地面人员从起吊点撤离，吊车在指挥员的指示下匀速将材料提升至指定高度缓慢转运。</w:t>
      </w:r>
    </w:p>
    <w:p>
      <w:pPr>
        <w:pStyle w:val="22"/>
        <w:autoSpaceDE w:val="0"/>
        <w:autoSpaceDN w:val="0"/>
        <w:adjustRightInd w:val="0"/>
        <w:snapToGrid w:val="0"/>
        <w:spacing w:line="440" w:lineRule="exact"/>
        <w:ind w:left="418" w:hanging="417" w:hangingChars="174"/>
        <w:jc w:val="left"/>
        <w:rPr>
          <w:rFonts w:ascii="宋体" w:hAnsi="宋体" w:eastAsia="宋体"/>
          <w:bCs/>
          <w:sz w:val="24"/>
        </w:rPr>
      </w:pPr>
      <w:r>
        <w:rPr>
          <w:rFonts w:ascii="宋体" w:hAnsi="宋体" w:eastAsia="宋体"/>
          <w:bCs/>
          <w:sz w:val="24"/>
        </w:rPr>
        <w:t xml:space="preserve">   c)、不同类型的材料应单独储存、堆放，保证存放边角整齐，并预留出净宽和净高度均不小于4米的消防通道。 </w:t>
      </w:r>
    </w:p>
    <w:p>
      <w:pPr>
        <w:pStyle w:val="22"/>
        <w:autoSpaceDE w:val="0"/>
        <w:autoSpaceDN w:val="0"/>
        <w:adjustRightInd w:val="0"/>
        <w:snapToGrid w:val="0"/>
        <w:spacing w:line="440" w:lineRule="exact"/>
        <w:ind w:left="178" w:firstLine="240" w:firstLineChars="100"/>
        <w:jc w:val="left"/>
        <w:rPr>
          <w:rFonts w:ascii="宋体" w:hAnsi="宋体" w:eastAsia="宋体"/>
          <w:bCs/>
          <w:sz w:val="24"/>
        </w:rPr>
      </w:pPr>
      <w:r>
        <w:rPr>
          <w:rFonts w:ascii="宋体" w:hAnsi="宋体" w:eastAsia="宋体"/>
          <w:bCs/>
          <w:sz w:val="24"/>
        </w:rPr>
        <w:t>d)、易燃材料应加强防火措施，悬挂严禁烟火标识牌，配备足量的灭火器材。</w:t>
      </w:r>
    </w:p>
    <w:p>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 xml:space="preserve">二、安全防护 </w:t>
      </w:r>
    </w:p>
    <w:p>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 xml:space="preserve">1、安全带 </w:t>
      </w:r>
    </w:p>
    <w:p>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a）安全带应符合GB 6095-2009《安全带》的技术和检验要求。进场应提供生产日期、 生产许可证、产品合格证、检验证。</w:t>
      </w:r>
    </w:p>
    <w:p>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 xml:space="preserve">b）高空作业场所应佩戴全身背带式安全带。 </w:t>
      </w:r>
    </w:p>
    <w:p>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 xml:space="preserve">c）安全带上的各种部件不得任意拆除、接长使用。安全带应高挂低用使用3m以上长绳应加缓冲器。 </w:t>
      </w:r>
    </w:p>
    <w:p>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d）个人劳动防护用品需经项目部检查合格后方可投入使用并建立采购验收发放台账。禁止质量不合格、资料不齐全或假冒伪劣的安全带进入施工现场。 e）应建立安全带管理台账，专人管理，加强现场巡查纠正违章行为。</w:t>
      </w:r>
    </w:p>
    <w:p>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 xml:space="preserve">2、安全绳 </w:t>
      </w:r>
    </w:p>
    <w:p>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a）若绳索为多股绳，则股数不应少于三股，绳头不应留有散丝。</w:t>
      </w:r>
    </w:p>
    <w:p>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 xml:space="preserve">b）绳末端连接金属件时，未端环眼内应加支架。 </w:t>
      </w:r>
    </w:p>
    <w:p>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 xml:space="preserve">c）绳体在结构上和使用过程中不应打结。 </w:t>
      </w:r>
    </w:p>
    <w:p>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 xml:space="preserve">d）所有零部件应顺滑，无材料或制造缺陷，无尖角或锋利边缘。 </w:t>
      </w:r>
    </w:p>
    <w:p>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 xml:space="preserve">e）安全绳的性能指标应符合GB6095-2020的规定，绳子的直径在16mm-18mm之间，不符合规定的不得使用。 </w:t>
      </w:r>
    </w:p>
    <w:p>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f）将安全绳牢固地固定在建筑物或构筑物上，不得固定在吊篮的悬挂控制机构上。</w:t>
      </w:r>
    </w:p>
    <w:p>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 xml:space="preserve">g）将安全带扣到安全绳上时，必须采用专用设备配套的自锁器或具有一定相同产品功能 的单向自锁卡扣，自锁器不得反装。 </w:t>
      </w:r>
    </w:p>
    <w:p>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h）施工区域的下方地面必须设置醒目的安全警戒范围，施工过程设置专人安全监护，禁止无关人员进入。</w:t>
      </w:r>
    </w:p>
    <w:p>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 xml:space="preserve">3、临边防护 </w:t>
      </w:r>
    </w:p>
    <w:p>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 xml:space="preserve">a）坠落高度基准面2m及以上进行临边作业时，应在临空一侧设置防护栏杆，并应采用 密目式安全立网或工具式栏板封闭。 </w:t>
      </w:r>
    </w:p>
    <w:p>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 xml:space="preserve">b）栏杆柱的固定及其与横向杆的连接，其整体构造应使防护栏杆在上杆任何处，能经受 任何方向的1000N外力。 </w:t>
      </w:r>
    </w:p>
    <w:p>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 xml:space="preserve">c）防护栏杆必须自上而下用安全立网封闭，或在栏杆下边设置严密固定的高度不低于 18cm的挡脚板。挡脚板如有孔眼，不应大于25mm,边距离底面的空隙不应大于10mm。 </w:t>
      </w:r>
    </w:p>
    <w:p>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 xml:space="preserve">d）接料平台两侧护栏，必须自上而下加挂安全立网。 </w:t>
      </w:r>
    </w:p>
    <w:p>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e）当临边的外侧面临街道时，除防护栏杆外，敞口立面必须采取满挂安全网或其他可靠 措施作全封闭处理。</w:t>
      </w:r>
    </w:p>
    <w:p>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 xml:space="preserve">三、动火安全 </w:t>
      </w:r>
    </w:p>
    <w:p>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a</w:t>
      </w:r>
      <w:r>
        <w:rPr>
          <w:rFonts w:hint="eastAsia" w:ascii="宋体" w:hAnsi="宋体" w:eastAsia="宋体"/>
          <w:bCs/>
          <w:sz w:val="24"/>
        </w:rPr>
        <w:t>)</w:t>
      </w:r>
      <w:r>
        <w:rPr>
          <w:rFonts w:ascii="宋体" w:hAnsi="宋体" w:eastAsia="宋体"/>
          <w:bCs/>
          <w:sz w:val="24"/>
        </w:rPr>
        <w:t xml:space="preserve"> 动火作业前，应办理动火许可证，经项目生产经理完成安全作业条件验收后，下发动火许可证</w:t>
      </w:r>
      <w:r>
        <w:rPr>
          <w:rFonts w:hint="eastAsia" w:ascii="宋体" w:hAnsi="宋体" w:eastAsia="宋体"/>
          <w:bCs/>
          <w:sz w:val="24"/>
        </w:rPr>
        <w:t>.</w:t>
      </w:r>
    </w:p>
    <w:p>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b)</w:t>
      </w:r>
      <w:r>
        <w:rPr>
          <w:rFonts w:hint="eastAsia" w:ascii="宋体" w:hAnsi="宋体" w:eastAsia="宋体"/>
          <w:bCs/>
          <w:sz w:val="24"/>
        </w:rPr>
        <w:t xml:space="preserve"> </w:t>
      </w:r>
      <w:r>
        <w:rPr>
          <w:rFonts w:ascii="宋体" w:hAnsi="宋体" w:eastAsia="宋体"/>
          <w:bCs/>
          <w:sz w:val="24"/>
        </w:rPr>
        <w:t xml:space="preserve">施工现场高空进行焊接、切割等易产生金属火花的施工作业时，下方应设置接火斗，并在里面铺设防溅的防火棉，接火斗的尺寸、位置应视现场风力、风向等实际情况实时 调整，确保焊接产生的火花、焊渣全部落入接火盆内。 </w:t>
      </w:r>
    </w:p>
    <w:p>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c) 动火作业后，看火人应对现场进行检查，并应在确认无火灾隐患后动火操作人员再离开。</w:t>
      </w:r>
    </w:p>
    <w:p>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 xml:space="preserve">四、特殊天气 </w:t>
      </w:r>
    </w:p>
    <w:p>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a)</w:t>
      </w:r>
      <w:r>
        <w:rPr>
          <w:rFonts w:hint="eastAsia" w:ascii="宋体" w:hAnsi="宋体" w:eastAsia="宋体"/>
          <w:bCs/>
          <w:sz w:val="24"/>
        </w:rPr>
        <w:t xml:space="preserve"> </w:t>
      </w:r>
      <w:r>
        <w:rPr>
          <w:rFonts w:ascii="宋体" w:hAnsi="宋体" w:eastAsia="宋体"/>
          <w:bCs/>
          <w:sz w:val="24"/>
        </w:rPr>
        <w:t xml:space="preserve">在大风和台风季节施工期间，必须安排专人负责收听收看天气预报了解特殊天气预警 情况，并随时上报异常情况。 </w:t>
      </w:r>
    </w:p>
    <w:p>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b)</w:t>
      </w:r>
      <w:r>
        <w:rPr>
          <w:rFonts w:hint="eastAsia" w:ascii="宋体" w:hAnsi="宋体" w:eastAsia="宋体"/>
          <w:bCs/>
          <w:sz w:val="24"/>
        </w:rPr>
        <w:t xml:space="preserve"> </w:t>
      </w:r>
      <w:r>
        <w:rPr>
          <w:rFonts w:ascii="宋体" w:hAnsi="宋体" w:eastAsia="宋体"/>
          <w:bCs/>
          <w:sz w:val="24"/>
        </w:rPr>
        <w:t xml:space="preserve">当工作处阵风风速大于8.3米/秒 (相当于5级风力) 时，必须停止使用，并应提前做好 准备，把吊篮停放至地面，并用绳索固定。 </w:t>
      </w:r>
    </w:p>
    <w:p>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 xml:space="preserve">c) 每次下班时，应把吊篮停放至地面，并切断电源。 </w:t>
      </w:r>
    </w:p>
    <w:p>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 xml:space="preserve">d) 雷雨天气应停止使用吊篮，并把吊篮停放至地面，且采取固定措施。期间应做好防雷 防水工作，特别是电气设备及线缆，应全面检查，是否绝缘层有破损或漏电现象存在。 </w:t>
      </w:r>
    </w:p>
    <w:p>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 xml:space="preserve">e) 若发现电气设备流入了雨水或被雨水浸泡时，应停止使用，并立即通知设备维修人员 进行检修，确认合格后方可使用。 </w:t>
      </w:r>
    </w:p>
    <w:p>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 xml:space="preserve">f) 当出现温度高于40°C天气时，应停止作业，应把吊篮停放至地面并切断电源。 </w:t>
      </w:r>
    </w:p>
    <w:p>
      <w:pPr>
        <w:autoSpaceDE w:val="0"/>
        <w:autoSpaceDN w:val="0"/>
        <w:adjustRightInd w:val="0"/>
        <w:snapToGrid w:val="0"/>
        <w:spacing w:line="440" w:lineRule="exact"/>
        <w:ind w:left="420"/>
        <w:jc w:val="left"/>
        <w:rPr>
          <w:rFonts w:ascii="宋体" w:hAnsi="宋体" w:eastAsia="宋体"/>
          <w:bCs/>
          <w:sz w:val="24"/>
        </w:rPr>
      </w:pPr>
      <w:r>
        <w:rPr>
          <w:rFonts w:ascii="宋体" w:hAnsi="宋体" w:eastAsia="宋体"/>
          <w:bCs/>
          <w:sz w:val="24"/>
        </w:rPr>
        <w:t xml:space="preserve">g) 若遇下雪或大雾天气出现时，均应停止作业。 </w:t>
      </w:r>
    </w:p>
    <w:p>
      <w:pPr>
        <w:pStyle w:val="22"/>
        <w:numPr>
          <w:ilvl w:val="1"/>
          <w:numId w:val="4"/>
        </w:numPr>
        <w:autoSpaceDE w:val="0"/>
        <w:autoSpaceDN w:val="0"/>
        <w:adjustRightInd w:val="0"/>
        <w:snapToGrid w:val="0"/>
        <w:spacing w:line="440" w:lineRule="exact"/>
        <w:ind w:firstLineChars="0"/>
        <w:jc w:val="left"/>
        <w:outlineLvl w:val="1"/>
        <w:rPr>
          <w:rFonts w:ascii="宋体" w:hAnsi="宋体" w:eastAsia="宋体"/>
          <w:b/>
          <w:bCs/>
          <w:sz w:val="24"/>
        </w:rPr>
      </w:pPr>
      <w:r>
        <w:rPr>
          <w:rFonts w:hint="eastAsia" w:ascii="宋体" w:hAnsi="宋体" w:eastAsia="宋体"/>
          <w:b/>
          <w:bCs/>
          <w:sz w:val="24"/>
        </w:rPr>
        <w:t>卫生防疫要求</w:t>
      </w:r>
    </w:p>
    <w:p>
      <w:pPr>
        <w:pStyle w:val="22"/>
        <w:numPr>
          <w:ilvl w:val="0"/>
          <w:numId w:val="8"/>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中标人获得中标通知后，须编制专项防控工作方案及应急预案，在规定的时间内获得马鞍山县政府批准。</w:t>
      </w:r>
    </w:p>
    <w:p>
      <w:pPr>
        <w:pStyle w:val="22"/>
        <w:numPr>
          <w:ilvl w:val="0"/>
          <w:numId w:val="8"/>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完全接受、配合政府相关部门、发包人相关单位的针对卫生防疫工作的检查、督导；</w:t>
      </w:r>
    </w:p>
    <w:p>
      <w:pPr>
        <w:pStyle w:val="22"/>
        <w:numPr>
          <w:ilvl w:val="0"/>
          <w:numId w:val="8"/>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投标方必须在投标文件中详细描述有关卫生防疫措施，并单独编制平面图，规划相应防疫设施、防疫措施等内容。</w:t>
      </w:r>
    </w:p>
    <w:p>
      <w:pPr>
        <w:pStyle w:val="22"/>
        <w:numPr>
          <w:ilvl w:val="0"/>
          <w:numId w:val="8"/>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全部进场人员必须完成全部100%卫生防疫检测，根据相关部门要求完成相关隔离、防疫。</w:t>
      </w:r>
    </w:p>
    <w:p>
      <w:pPr>
        <w:pStyle w:val="22"/>
        <w:numPr>
          <w:ilvl w:val="0"/>
          <w:numId w:val="8"/>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中标人应在现有施工场地内，考虑现场条件，设立相应的临时设施，保证在卫生防疫需要时，可以在各施工场地内就地隔离所有劳务人员；</w:t>
      </w:r>
    </w:p>
    <w:p>
      <w:pPr>
        <w:pStyle w:val="22"/>
        <w:numPr>
          <w:ilvl w:val="1"/>
          <w:numId w:val="4"/>
        </w:numPr>
        <w:autoSpaceDE w:val="0"/>
        <w:autoSpaceDN w:val="0"/>
        <w:adjustRightInd w:val="0"/>
        <w:snapToGrid w:val="0"/>
        <w:spacing w:line="440" w:lineRule="exact"/>
        <w:ind w:firstLineChars="0"/>
        <w:jc w:val="left"/>
        <w:outlineLvl w:val="1"/>
        <w:rPr>
          <w:rFonts w:ascii="宋体" w:hAnsi="宋体" w:eastAsia="宋体"/>
          <w:b/>
          <w:bCs/>
          <w:sz w:val="24"/>
        </w:rPr>
      </w:pPr>
      <w:r>
        <w:rPr>
          <w:rFonts w:hint="eastAsia" w:ascii="宋体" w:hAnsi="宋体" w:eastAsia="宋体"/>
          <w:b/>
          <w:bCs/>
          <w:sz w:val="24"/>
        </w:rPr>
        <w:t>质量管理要求</w:t>
      </w:r>
    </w:p>
    <w:p>
      <w:pPr>
        <w:pStyle w:val="22"/>
        <w:numPr>
          <w:ilvl w:val="0"/>
          <w:numId w:val="9"/>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材料进场管理：按发包人要求执行；</w:t>
      </w:r>
    </w:p>
    <w:p>
      <w:pPr>
        <w:pStyle w:val="22"/>
        <w:numPr>
          <w:ilvl w:val="0"/>
          <w:numId w:val="9"/>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隐蔽验收管理：按发包人要求执行，发包人联合验收；</w:t>
      </w:r>
    </w:p>
    <w:p>
      <w:pPr>
        <w:pStyle w:val="22"/>
        <w:numPr>
          <w:ilvl w:val="0"/>
          <w:numId w:val="9"/>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甲供材管理（如有）：进场需求提前10天提报，《甲供材需求计划表》需经发包人审核，材料进场后供货方、发包人、需求方共同验收，并填《四方验收单》一式四份，具体管理要求以合同约定及发包人甲供材管理规定为准。</w:t>
      </w:r>
    </w:p>
    <w:p>
      <w:pPr>
        <w:pStyle w:val="22"/>
        <w:numPr>
          <w:ilvl w:val="0"/>
          <w:numId w:val="9"/>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涉及需定样材料必须满足进场时间，并提前10天予以送样申请发包人签字确认；因乙方送样时间晚于约定时间，而延误材料进场对工期的影响，发包人不承担任何责任；</w:t>
      </w:r>
    </w:p>
    <w:p>
      <w:pPr>
        <w:pStyle w:val="22"/>
        <w:numPr>
          <w:ilvl w:val="1"/>
          <w:numId w:val="4"/>
        </w:numPr>
        <w:autoSpaceDE w:val="0"/>
        <w:autoSpaceDN w:val="0"/>
        <w:adjustRightInd w:val="0"/>
        <w:snapToGrid w:val="0"/>
        <w:spacing w:line="440" w:lineRule="exact"/>
        <w:ind w:firstLineChars="0"/>
        <w:jc w:val="left"/>
        <w:outlineLvl w:val="1"/>
        <w:rPr>
          <w:rFonts w:ascii="宋体" w:hAnsi="宋体" w:eastAsia="宋体"/>
          <w:b/>
          <w:bCs/>
          <w:sz w:val="24"/>
        </w:rPr>
      </w:pPr>
      <w:r>
        <w:rPr>
          <w:rFonts w:hint="eastAsia" w:ascii="宋体" w:hAnsi="宋体" w:eastAsia="宋体"/>
          <w:b/>
          <w:bCs/>
          <w:sz w:val="24"/>
        </w:rPr>
        <w:t>成本管理要求</w:t>
      </w:r>
    </w:p>
    <w:p>
      <w:pPr>
        <w:pStyle w:val="22"/>
        <w:numPr>
          <w:ilvl w:val="0"/>
          <w:numId w:val="10"/>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签证管理</w:t>
      </w:r>
      <w:r>
        <w:rPr>
          <w:rFonts w:ascii="宋体" w:hAnsi="宋体" w:eastAsia="宋体"/>
          <w:bCs/>
          <w:sz w:val="24"/>
        </w:rPr>
        <w:t>:</w:t>
      </w:r>
      <w:r>
        <w:rPr>
          <w:rFonts w:hint="eastAsia" w:ascii="宋体" w:hAnsi="宋体" w:eastAsia="宋体"/>
          <w:bCs/>
          <w:sz w:val="24"/>
        </w:rPr>
        <w:t>按发包人要求执行，重点注意签证时效性，签证内容施工完成后，</w:t>
      </w:r>
      <w:r>
        <w:rPr>
          <w:rFonts w:ascii="宋体" w:hAnsi="宋体" w:eastAsia="宋体"/>
          <w:bCs/>
          <w:sz w:val="24"/>
        </w:rPr>
        <w:t>7天内必须提报签证资料给</w:t>
      </w:r>
      <w:r>
        <w:rPr>
          <w:rFonts w:hint="eastAsia" w:ascii="宋体" w:hAnsi="宋体" w:eastAsia="宋体"/>
          <w:bCs/>
          <w:sz w:val="24"/>
        </w:rPr>
        <w:t>发包人</w:t>
      </w:r>
      <w:r>
        <w:rPr>
          <w:rFonts w:ascii="宋体" w:hAnsi="宋体" w:eastAsia="宋体"/>
          <w:bCs/>
          <w:sz w:val="24"/>
        </w:rPr>
        <w:t>，逾期提报视为让利。</w:t>
      </w:r>
    </w:p>
    <w:p>
      <w:pPr>
        <w:pStyle w:val="22"/>
        <w:numPr>
          <w:ilvl w:val="0"/>
          <w:numId w:val="10"/>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进度款支付：按发包人要求执行；</w:t>
      </w:r>
    </w:p>
    <w:p>
      <w:pPr>
        <w:pStyle w:val="22"/>
        <w:numPr>
          <w:ilvl w:val="0"/>
          <w:numId w:val="10"/>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结算：按发包人要求执行；</w:t>
      </w:r>
    </w:p>
    <w:p>
      <w:pPr>
        <w:pStyle w:val="22"/>
        <w:numPr>
          <w:ilvl w:val="0"/>
          <w:numId w:val="10"/>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质保金退还：质保期到期，需经发包人确认维修履约情况。质保期管理措施以合同附件《质保协议》约定为准；</w:t>
      </w:r>
    </w:p>
    <w:p>
      <w:pPr>
        <w:pStyle w:val="22"/>
        <w:numPr>
          <w:ilvl w:val="1"/>
          <w:numId w:val="4"/>
        </w:numPr>
        <w:autoSpaceDE w:val="0"/>
        <w:autoSpaceDN w:val="0"/>
        <w:adjustRightInd w:val="0"/>
        <w:snapToGrid w:val="0"/>
        <w:spacing w:line="440" w:lineRule="exact"/>
        <w:ind w:firstLineChars="0"/>
        <w:jc w:val="left"/>
        <w:outlineLvl w:val="1"/>
        <w:rPr>
          <w:rFonts w:ascii="宋体" w:hAnsi="宋体" w:eastAsia="宋体"/>
          <w:b/>
          <w:bCs/>
          <w:sz w:val="24"/>
        </w:rPr>
      </w:pPr>
      <w:r>
        <w:rPr>
          <w:rFonts w:hint="eastAsia" w:ascii="宋体" w:hAnsi="宋体" w:eastAsia="宋体"/>
          <w:b/>
          <w:bCs/>
          <w:sz w:val="24"/>
        </w:rPr>
        <w:t>进度管理要求</w:t>
      </w:r>
    </w:p>
    <w:p>
      <w:pPr>
        <w:pStyle w:val="22"/>
        <w:numPr>
          <w:ilvl w:val="0"/>
          <w:numId w:val="11"/>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施工组织设计：进场后一周内提报发包人审核，项目平面布置方案需同步提报效果图版本；</w:t>
      </w:r>
    </w:p>
    <w:p>
      <w:pPr>
        <w:pStyle w:val="22"/>
        <w:numPr>
          <w:ilvl w:val="0"/>
          <w:numId w:val="11"/>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月度计划：月度计划在每月的最后一周（并不晚于当月2</w:t>
      </w:r>
      <w:r>
        <w:rPr>
          <w:rFonts w:ascii="宋体" w:hAnsi="宋体" w:eastAsia="宋体"/>
          <w:bCs/>
          <w:sz w:val="24"/>
        </w:rPr>
        <w:t>5</w:t>
      </w:r>
      <w:r>
        <w:rPr>
          <w:rFonts w:hint="eastAsia" w:ascii="宋体" w:hAnsi="宋体" w:eastAsia="宋体"/>
          <w:bCs/>
          <w:sz w:val="24"/>
        </w:rPr>
        <w:t>日）提报发包人审批，未及时提报每延迟一天处罚500元。</w:t>
      </w:r>
    </w:p>
    <w:p>
      <w:pPr>
        <w:pStyle w:val="22"/>
        <w:numPr>
          <w:ilvl w:val="0"/>
          <w:numId w:val="11"/>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周计划：每周例会需提报周计划，计划内容需对上周计划进行总结，下周计划计划人、材、机等安排内容，并明确上周计划未完成在下周计划中的赶工措施；</w:t>
      </w:r>
    </w:p>
    <w:p>
      <w:pPr>
        <w:pStyle w:val="22"/>
        <w:numPr>
          <w:ilvl w:val="0"/>
          <w:numId w:val="11"/>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专项计划：发包人有权在合同周期提出专项工作计划并设定一定奖罚措施，承包方需全力配合并确保按期、保质完成专项计划约定。</w:t>
      </w:r>
    </w:p>
    <w:p>
      <w:pPr>
        <w:pStyle w:val="22"/>
        <w:numPr>
          <w:ilvl w:val="0"/>
          <w:numId w:val="11"/>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如经发包人审核的月度进度计划连续超过</w:t>
      </w:r>
      <w:r>
        <w:rPr>
          <w:rFonts w:hint="eastAsia" w:ascii="宋体" w:hAnsi="宋体"/>
          <w:bCs/>
          <w:sz w:val="24"/>
          <w:lang w:val="en-US" w:eastAsia="zh-CN"/>
        </w:rPr>
        <w:t>20天</w:t>
      </w:r>
      <w:r>
        <w:rPr>
          <w:rFonts w:hint="eastAsia" w:ascii="宋体" w:hAnsi="宋体" w:eastAsia="宋体"/>
          <w:bCs/>
          <w:sz w:val="24"/>
        </w:rPr>
        <w:t>（包括2</w:t>
      </w:r>
      <w:r>
        <w:rPr>
          <w:rFonts w:hint="eastAsia" w:ascii="宋体" w:hAnsi="宋体"/>
          <w:bCs/>
          <w:sz w:val="24"/>
          <w:lang w:val="en-US" w:eastAsia="zh-CN"/>
        </w:rPr>
        <w:t>0天</w:t>
      </w:r>
      <w:r>
        <w:rPr>
          <w:rFonts w:hint="eastAsia" w:ascii="宋体" w:hAnsi="宋体" w:eastAsia="宋体"/>
          <w:bCs/>
          <w:sz w:val="24"/>
        </w:rPr>
        <w:t>）出现延误，发包人有权根据延误天数每天不低</w:t>
      </w:r>
      <w:r>
        <w:rPr>
          <w:rFonts w:ascii="宋体" w:hAnsi="宋体" w:eastAsia="宋体"/>
          <w:bCs/>
          <w:sz w:val="24"/>
        </w:rPr>
        <w:t>2000</w:t>
      </w:r>
      <w:r>
        <w:rPr>
          <w:rFonts w:hint="eastAsia" w:ascii="宋体" w:hAnsi="宋体" w:eastAsia="宋体"/>
          <w:bCs/>
          <w:sz w:val="24"/>
        </w:rPr>
        <w:t>元的违约索赔并采取其它措施予以纠偏。</w:t>
      </w:r>
    </w:p>
    <w:p>
      <w:pPr>
        <w:pStyle w:val="22"/>
        <w:numPr>
          <w:ilvl w:val="1"/>
          <w:numId w:val="4"/>
        </w:numPr>
        <w:autoSpaceDE w:val="0"/>
        <w:autoSpaceDN w:val="0"/>
        <w:adjustRightInd w:val="0"/>
        <w:snapToGrid w:val="0"/>
        <w:spacing w:line="440" w:lineRule="exact"/>
        <w:ind w:firstLineChars="0"/>
        <w:jc w:val="left"/>
        <w:outlineLvl w:val="1"/>
        <w:rPr>
          <w:rFonts w:ascii="宋体" w:hAnsi="宋体" w:eastAsia="宋体"/>
          <w:b/>
          <w:bCs/>
          <w:sz w:val="24"/>
        </w:rPr>
      </w:pPr>
      <w:r>
        <w:rPr>
          <w:rFonts w:hint="eastAsia" w:ascii="宋体" w:hAnsi="宋体" w:eastAsia="宋体"/>
          <w:b/>
          <w:bCs/>
          <w:sz w:val="24"/>
        </w:rPr>
        <w:t>收发文管理要求</w:t>
      </w:r>
    </w:p>
    <w:p>
      <w:pPr>
        <w:pStyle w:val="22"/>
        <w:numPr>
          <w:ilvl w:val="0"/>
          <w:numId w:val="12"/>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承包方在进场后1</w:t>
      </w:r>
      <w:r>
        <w:rPr>
          <w:rFonts w:ascii="宋体" w:hAnsi="宋体" w:eastAsia="宋体"/>
          <w:bCs/>
          <w:sz w:val="24"/>
        </w:rPr>
        <w:t>0</w:t>
      </w:r>
      <w:r>
        <w:rPr>
          <w:rFonts w:hint="eastAsia" w:ascii="宋体" w:hAnsi="宋体" w:eastAsia="宋体"/>
          <w:bCs/>
          <w:sz w:val="24"/>
        </w:rPr>
        <w:t>天内提交往来文件有效签收人及联系方式、项目印章样式及授权范围、公司收文地址、企业邮箱等盖有公司印章的有效文件给发包人备案；每延期一天提交索赔5</w:t>
      </w:r>
      <w:r>
        <w:rPr>
          <w:rFonts w:ascii="宋体" w:hAnsi="宋体" w:eastAsia="宋体"/>
          <w:bCs/>
          <w:sz w:val="24"/>
        </w:rPr>
        <w:t>00</w:t>
      </w:r>
      <w:r>
        <w:rPr>
          <w:rFonts w:hint="eastAsia" w:ascii="宋体" w:hAnsi="宋体" w:eastAsia="宋体"/>
          <w:bCs/>
          <w:sz w:val="24"/>
        </w:rPr>
        <w:t>元；</w:t>
      </w:r>
    </w:p>
    <w:p>
      <w:pPr>
        <w:pStyle w:val="22"/>
        <w:numPr>
          <w:ilvl w:val="0"/>
          <w:numId w:val="12"/>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承包方不得以任何理由拒收发包人发文，每出现一次索赔违约金</w:t>
      </w:r>
      <w:r>
        <w:rPr>
          <w:rFonts w:ascii="宋体" w:hAnsi="宋体" w:eastAsia="宋体"/>
          <w:bCs/>
          <w:sz w:val="24"/>
        </w:rPr>
        <w:t>1000</w:t>
      </w:r>
      <w:r>
        <w:rPr>
          <w:rFonts w:hint="eastAsia" w:ascii="宋体" w:hAnsi="宋体" w:eastAsia="宋体"/>
          <w:bCs/>
          <w:sz w:val="24"/>
        </w:rPr>
        <w:t>元，同时承包方的拒收行为并不能否定发包人函件的有效性，如承包方对发包人发函内容有异议，可4</w:t>
      </w:r>
      <w:r>
        <w:rPr>
          <w:rFonts w:ascii="宋体" w:hAnsi="宋体" w:eastAsia="宋体"/>
          <w:bCs/>
          <w:sz w:val="24"/>
        </w:rPr>
        <w:t>8</w:t>
      </w:r>
      <w:r>
        <w:rPr>
          <w:rFonts w:hint="eastAsia" w:ascii="宋体" w:hAnsi="宋体" w:eastAsia="宋体"/>
          <w:bCs/>
          <w:sz w:val="24"/>
        </w:rPr>
        <w:t>小时内回函说明，如发包人仍坚持按原函件要求乙方继续执行，承包方需充分理解与配合，不得就同一协调问题重复性来函，如分歧仍较大可按合同争议条款处理，但乙方不得以任何理由影响合同的继续履约，发包人另有要求除外。</w:t>
      </w:r>
    </w:p>
    <w:p>
      <w:pPr>
        <w:pStyle w:val="22"/>
        <w:numPr>
          <w:ilvl w:val="0"/>
          <w:numId w:val="12"/>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对资料同步时间要求：建设方有权在工程施工过程中，随时要求承包方提交工程同步资料，进行资料同步性检查，承包方必须无条件配合，如在检过程中，承包方不能做到资料同步，则视为违反合同约定，建设方可对承包方进行相应索赔，每次索赔金额1千至5千元。</w:t>
      </w:r>
    </w:p>
    <w:p>
      <w:pPr>
        <w:pStyle w:val="22"/>
        <w:numPr>
          <w:ilvl w:val="0"/>
          <w:numId w:val="4"/>
        </w:numPr>
        <w:autoSpaceDE w:val="0"/>
        <w:autoSpaceDN w:val="0"/>
        <w:adjustRightInd w:val="0"/>
        <w:snapToGrid w:val="0"/>
        <w:spacing w:line="440" w:lineRule="exact"/>
        <w:ind w:firstLineChars="0"/>
        <w:jc w:val="left"/>
        <w:outlineLvl w:val="0"/>
        <w:rPr>
          <w:rFonts w:ascii="宋体" w:hAnsi="宋体" w:eastAsia="宋体"/>
          <w:b/>
          <w:bCs/>
          <w:sz w:val="24"/>
        </w:rPr>
      </w:pPr>
      <w:bookmarkStart w:id="8" w:name="_Toc23383"/>
      <w:r>
        <w:rPr>
          <w:rFonts w:hint="eastAsia" w:ascii="宋体" w:hAnsi="宋体" w:eastAsia="宋体"/>
          <w:b/>
          <w:bCs/>
          <w:sz w:val="24"/>
        </w:rPr>
        <w:t>技术要求：按照设计及相关验收规范执行；</w:t>
      </w:r>
      <w:bookmarkEnd w:id="8"/>
    </w:p>
    <w:p>
      <w:pPr>
        <w:pStyle w:val="22"/>
        <w:numPr>
          <w:ilvl w:val="0"/>
          <w:numId w:val="4"/>
        </w:numPr>
        <w:autoSpaceDE w:val="0"/>
        <w:autoSpaceDN w:val="0"/>
        <w:adjustRightInd w:val="0"/>
        <w:snapToGrid w:val="0"/>
        <w:spacing w:line="440" w:lineRule="exact"/>
        <w:ind w:firstLineChars="0"/>
        <w:jc w:val="left"/>
        <w:outlineLvl w:val="0"/>
        <w:rPr>
          <w:rFonts w:ascii="宋体" w:hAnsi="宋体" w:eastAsia="宋体"/>
          <w:sz w:val="24"/>
        </w:rPr>
      </w:pPr>
      <w:bookmarkStart w:id="9" w:name="_Toc23239"/>
      <w:r>
        <w:rPr>
          <w:rFonts w:hint="eastAsia" w:ascii="宋体" w:hAnsi="宋体" w:eastAsia="宋体"/>
          <w:b/>
          <w:sz w:val="24"/>
        </w:rPr>
        <w:t>其它说明：</w:t>
      </w:r>
      <w:bookmarkEnd w:id="9"/>
    </w:p>
    <w:p>
      <w:pPr>
        <w:pStyle w:val="22"/>
        <w:numPr>
          <w:ilvl w:val="0"/>
          <w:numId w:val="13"/>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投标人必须根据合同、技术要求、建筑规范、施工规范、安全规范及进度计划执行，若没有按照以上规定执行，发包人</w:t>
      </w:r>
      <w:r>
        <w:rPr>
          <w:rFonts w:ascii="宋体" w:hAnsi="宋体" w:eastAsia="宋体"/>
          <w:bCs/>
          <w:sz w:val="24"/>
        </w:rPr>
        <w:t>有</w:t>
      </w:r>
      <w:r>
        <w:rPr>
          <w:rFonts w:hint="eastAsia" w:ascii="宋体" w:hAnsi="宋体" w:eastAsia="宋体"/>
          <w:bCs/>
          <w:sz w:val="24"/>
        </w:rPr>
        <w:t>索赔权或延期支付资金权利，并视为承包人违约。</w:t>
      </w:r>
    </w:p>
    <w:p>
      <w:pPr>
        <w:pStyle w:val="22"/>
        <w:numPr>
          <w:ilvl w:val="0"/>
          <w:numId w:val="13"/>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本工程所有材料检验检测费用（包含：原材料、防雷检测、消防第三方检测等有关工程质量验收的全部检测）包含在合同价内，需要发包人与检测机构签订委托合同的，所发生费用均统一由承包人承担并负责缴纳，如必须由发包人缴纳的，相关费用需从总合同价内扣除。</w:t>
      </w:r>
    </w:p>
    <w:p>
      <w:pPr>
        <w:pStyle w:val="22"/>
        <w:numPr>
          <w:ilvl w:val="0"/>
          <w:numId w:val="13"/>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本工程所涉及所有深化设计的分项工程，包括</w:t>
      </w:r>
      <w:r>
        <w:rPr>
          <w:rFonts w:hint="eastAsia" w:ascii="宋体" w:hAnsi="宋体"/>
          <w:bCs/>
          <w:sz w:val="24"/>
          <w:lang w:eastAsia="zh-CN"/>
        </w:rPr>
        <w:t>电力</w:t>
      </w:r>
      <w:r>
        <w:rPr>
          <w:rFonts w:hint="eastAsia" w:ascii="宋体" w:hAnsi="宋体" w:eastAsia="宋体"/>
          <w:bCs/>
          <w:sz w:val="24"/>
        </w:rPr>
        <w:t>、门窗等，所产生的二次设计等相关费用投标人一并考虑在造价内，工程实施过程中发包人不做另外调价，且二次设计内容必须符合国家规范要求，并经发包人确认后方可施工。</w:t>
      </w:r>
    </w:p>
    <w:p>
      <w:pPr>
        <w:pStyle w:val="22"/>
        <w:numPr>
          <w:ilvl w:val="0"/>
          <w:numId w:val="13"/>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此次招标人提供的清单不允许修改，未尽部分或漏项部分投标人自行增加并在备注栏里标注。</w:t>
      </w:r>
    </w:p>
    <w:p>
      <w:pPr>
        <w:pStyle w:val="22"/>
        <w:numPr>
          <w:ilvl w:val="0"/>
          <w:numId w:val="13"/>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发包人提供施工现场临时水、电接驳口位置，投标人自行考虑该部分报价，包括</w:t>
      </w:r>
      <w:r>
        <w:rPr>
          <w:rFonts w:ascii="宋体" w:hAnsi="宋体" w:eastAsia="宋体"/>
          <w:bCs/>
          <w:sz w:val="24"/>
        </w:rPr>
        <w:t>但不限于</w:t>
      </w:r>
      <w:r>
        <w:rPr>
          <w:rFonts w:hint="eastAsia" w:ascii="宋体" w:hAnsi="宋体" w:eastAsia="宋体"/>
          <w:bCs/>
          <w:sz w:val="24"/>
        </w:rPr>
        <w:t>向政府部门</w:t>
      </w:r>
      <w:r>
        <w:rPr>
          <w:rFonts w:ascii="宋体" w:hAnsi="宋体" w:eastAsia="宋体"/>
          <w:bCs/>
          <w:sz w:val="24"/>
        </w:rPr>
        <w:t>报装</w:t>
      </w:r>
      <w:r>
        <w:rPr>
          <w:rFonts w:hint="eastAsia" w:ascii="宋体" w:hAnsi="宋体" w:eastAsia="宋体"/>
          <w:bCs/>
          <w:sz w:val="24"/>
        </w:rPr>
        <w:t>、</w:t>
      </w:r>
      <w:r>
        <w:rPr>
          <w:rFonts w:ascii="宋体" w:hAnsi="宋体" w:eastAsia="宋体"/>
          <w:bCs/>
          <w:sz w:val="24"/>
        </w:rPr>
        <w:t>电缆线</w:t>
      </w:r>
      <w:r>
        <w:rPr>
          <w:rFonts w:hint="eastAsia" w:ascii="宋体" w:hAnsi="宋体" w:eastAsia="宋体"/>
          <w:bCs/>
          <w:sz w:val="24"/>
        </w:rPr>
        <w:t>采购</w:t>
      </w:r>
      <w:r>
        <w:rPr>
          <w:rFonts w:ascii="宋体" w:hAnsi="宋体" w:eastAsia="宋体"/>
          <w:bCs/>
          <w:sz w:val="24"/>
        </w:rPr>
        <w:t>安装、管道安装</w:t>
      </w:r>
      <w:r>
        <w:rPr>
          <w:rFonts w:hint="eastAsia" w:ascii="宋体" w:hAnsi="宋体" w:eastAsia="宋体"/>
          <w:bCs/>
          <w:sz w:val="24"/>
        </w:rPr>
        <w:t>敷设</w:t>
      </w:r>
      <w:r>
        <w:rPr>
          <w:rFonts w:ascii="宋体" w:hAnsi="宋体" w:eastAsia="宋体"/>
          <w:bCs/>
          <w:sz w:val="24"/>
        </w:rPr>
        <w:t>、</w:t>
      </w:r>
      <w:r>
        <w:rPr>
          <w:rFonts w:hint="eastAsia" w:ascii="宋体" w:hAnsi="宋体" w:eastAsia="宋体"/>
          <w:bCs/>
          <w:sz w:val="24"/>
        </w:rPr>
        <w:t>变压器</w:t>
      </w:r>
      <w:r>
        <w:rPr>
          <w:rFonts w:ascii="宋体" w:hAnsi="宋体" w:eastAsia="宋体"/>
          <w:bCs/>
          <w:sz w:val="24"/>
        </w:rPr>
        <w:t>、</w:t>
      </w:r>
      <w:r>
        <w:rPr>
          <w:rFonts w:hint="eastAsia" w:ascii="宋体" w:hAnsi="宋体" w:eastAsia="宋体"/>
          <w:bCs/>
          <w:sz w:val="24"/>
        </w:rPr>
        <w:t>配电</w:t>
      </w:r>
      <w:r>
        <w:rPr>
          <w:rFonts w:ascii="宋体" w:hAnsi="宋体" w:eastAsia="宋体"/>
          <w:bCs/>
          <w:sz w:val="24"/>
        </w:rPr>
        <w:t>箱、</w:t>
      </w:r>
      <w:r>
        <w:rPr>
          <w:rFonts w:hint="eastAsia" w:ascii="宋体" w:hAnsi="宋体" w:eastAsia="宋体"/>
          <w:bCs/>
          <w:sz w:val="24"/>
        </w:rPr>
        <w:t>水表、电表</w:t>
      </w:r>
      <w:r>
        <w:rPr>
          <w:rFonts w:ascii="宋体" w:hAnsi="宋体" w:eastAsia="宋体"/>
          <w:bCs/>
          <w:sz w:val="24"/>
        </w:rPr>
        <w:t>等</w:t>
      </w:r>
      <w:r>
        <w:rPr>
          <w:rFonts w:hint="eastAsia" w:ascii="宋体" w:hAnsi="宋体" w:eastAsia="宋体"/>
          <w:bCs/>
          <w:sz w:val="24"/>
        </w:rPr>
        <w:t>。</w:t>
      </w:r>
    </w:p>
    <w:p>
      <w:pPr>
        <w:pStyle w:val="22"/>
        <w:numPr>
          <w:ilvl w:val="0"/>
          <w:numId w:val="13"/>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招标人有权对本项目进行图纸优化，承包人须无条件接受，并配合完成现场工作调配，由此优化增加或减少费用，按照变更签证的要求执行。</w:t>
      </w:r>
    </w:p>
    <w:p>
      <w:pPr>
        <w:pStyle w:val="22"/>
        <w:numPr>
          <w:ilvl w:val="0"/>
          <w:numId w:val="13"/>
        </w:numPr>
        <w:autoSpaceDE w:val="0"/>
        <w:autoSpaceDN w:val="0"/>
        <w:adjustRightInd w:val="0"/>
        <w:snapToGrid w:val="0"/>
        <w:spacing w:line="440" w:lineRule="exact"/>
        <w:ind w:firstLineChars="0"/>
        <w:jc w:val="left"/>
        <w:rPr>
          <w:rFonts w:ascii="宋体" w:hAnsi="宋体" w:eastAsia="宋体"/>
          <w:bCs/>
          <w:sz w:val="24"/>
        </w:rPr>
      </w:pPr>
      <w:r>
        <w:rPr>
          <w:rFonts w:hint="eastAsia" w:ascii="宋体" w:hAnsi="宋体" w:eastAsia="宋体"/>
          <w:bCs/>
          <w:sz w:val="24"/>
        </w:rPr>
        <w:t>招标人有权对本项目的工作内容进行调整，承包人须无条件接受，并配合完成现场工作调配，由此增加或减少的费用，按照变更签证的要求执行。</w:t>
      </w:r>
    </w:p>
    <w:p>
      <w:pPr>
        <w:widowControl/>
        <w:spacing w:line="440" w:lineRule="exact"/>
        <w:jc w:val="left"/>
        <w:rPr>
          <w:rFonts w:ascii="宋体" w:hAnsi="宋体" w:eastAsia="宋体"/>
          <w:sz w:val="24"/>
        </w:rPr>
      </w:pPr>
      <w:r>
        <w:rPr>
          <w:rFonts w:ascii="宋体" w:hAnsi="宋体" w:eastAsia="宋体"/>
          <w:sz w:val="24"/>
        </w:rPr>
        <w:br w:type="page"/>
      </w:r>
    </w:p>
    <w:p>
      <w:pPr>
        <w:pStyle w:val="22"/>
        <w:numPr>
          <w:ilvl w:val="0"/>
          <w:numId w:val="4"/>
        </w:numPr>
        <w:autoSpaceDE w:val="0"/>
        <w:autoSpaceDN w:val="0"/>
        <w:adjustRightInd w:val="0"/>
        <w:snapToGrid w:val="0"/>
        <w:spacing w:line="440" w:lineRule="exact"/>
        <w:ind w:firstLineChars="0"/>
        <w:jc w:val="left"/>
        <w:outlineLvl w:val="0"/>
        <w:rPr>
          <w:rFonts w:ascii="宋体" w:hAnsi="宋体" w:eastAsia="宋体"/>
          <w:sz w:val="24"/>
        </w:rPr>
      </w:pPr>
      <w:r>
        <w:rPr>
          <w:rFonts w:hint="eastAsia" w:ascii="宋体" w:hAnsi="宋体" w:eastAsia="宋体"/>
          <w:b/>
          <w:sz w:val="24"/>
        </w:rPr>
        <w:t>附表1：品牌限定表</w:t>
      </w:r>
    </w:p>
    <w:tbl>
      <w:tblPr>
        <w:tblpPr w:leftFromText="180" w:rightFromText="180" w:vertAnchor="text" w:horzAnchor="margin" w:tblpXSpec="center" w:tblpY="1549"/>
        <w:tblOverlap w:val="never"/>
        <w:tblW w:w="7905"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
      <w:tblGrid>
        <w:gridCol w:w="675"/>
        <w:gridCol w:w="1985"/>
        <w:gridCol w:w="2551"/>
        <w:gridCol w:w="269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57" w:hRule="atLeast"/>
        </w:trPr>
        <w:tc>
          <w:tcPr>
            <w:tcW w:w="7905" w:type="dxa"/>
            <w:gridSpan w:val="4"/>
            <w:tcBorders>
              <w:top w:val="single" w:color="000000" w:sz="4" w:space="0"/>
              <w:left w:val="single" w:color="000000" w:sz="4" w:space="0"/>
              <w:bottom w:val="single" w:color="000000" w:sz="4" w:space="0"/>
              <w:right w:val="single" w:color="000000" w:sz="4" w:space="0"/>
            </w:tcBorders>
            <w:vAlign w:val="top"/>
          </w:tcPr>
          <w:p>
            <w:pPr>
              <w:widowControl/>
              <w:spacing w:line="440" w:lineRule="exact"/>
              <w:jc w:val="center"/>
              <w:textAlignment w:val="center"/>
              <w:rPr>
                <w:rFonts w:ascii="微软雅黑" w:hAnsi="微软雅黑" w:eastAsia="微软雅黑" w:cs="微软雅黑"/>
                <w:b/>
                <w:bCs/>
                <w:color w:val="000000"/>
                <w:sz w:val="40"/>
                <w:szCs w:val="40"/>
              </w:rPr>
            </w:pPr>
            <w:r>
              <w:rPr>
                <w:rFonts w:hint="eastAsia" w:ascii="微软雅黑" w:hAnsi="微软雅黑" w:eastAsia="微软雅黑" w:cs="微软雅黑"/>
                <w:b/>
                <w:bCs/>
                <w:color w:val="000000"/>
                <w:kern w:val="0"/>
                <w:sz w:val="32"/>
                <w:szCs w:val="40"/>
                <w:lang/>
              </w:rPr>
              <w:t>材料品牌限定表</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688" w:hRule="atLeast"/>
        </w:trPr>
        <w:tc>
          <w:tcPr>
            <w:tcW w:w="675" w:type="dxa"/>
            <w:tcBorders>
              <w:top w:val="single" w:color="000000" w:sz="4" w:space="0"/>
              <w:left w:val="single" w:color="000000" w:sz="4" w:space="0"/>
              <w:bottom w:val="nil"/>
              <w:right w:val="single" w:color="000000" w:sz="4" w:space="0"/>
            </w:tcBorders>
            <w:vAlign w:val="top"/>
          </w:tcPr>
          <w:p>
            <w:pPr>
              <w:widowControl/>
              <w:spacing w:line="440" w:lineRule="exact"/>
              <w:jc w:val="center"/>
              <w:textAlignment w:val="center"/>
              <w:rPr>
                <w:rFonts w:ascii="微软雅黑" w:hAnsi="微软雅黑" w:eastAsia="微软雅黑" w:cs="微软雅黑"/>
                <w:b/>
                <w:bCs/>
                <w:color w:val="000000"/>
                <w:szCs w:val="28"/>
              </w:rPr>
            </w:pPr>
            <w:r>
              <w:rPr>
                <w:rFonts w:hint="eastAsia" w:ascii="微软雅黑" w:hAnsi="微软雅黑" w:eastAsia="微软雅黑" w:cs="微软雅黑"/>
                <w:b/>
                <w:bCs/>
                <w:color w:val="000000"/>
                <w:kern w:val="0"/>
                <w:szCs w:val="28"/>
                <w:lang/>
              </w:rPr>
              <w:t>序号</w:t>
            </w:r>
          </w:p>
        </w:tc>
        <w:tc>
          <w:tcPr>
            <w:tcW w:w="1985" w:type="dxa"/>
            <w:tcBorders>
              <w:top w:val="single" w:color="000000" w:sz="4" w:space="0"/>
              <w:left w:val="single" w:color="000000" w:sz="4" w:space="0"/>
              <w:bottom w:val="nil"/>
              <w:right w:val="single" w:color="000000" w:sz="4" w:space="0"/>
            </w:tcBorders>
            <w:vAlign w:val="top"/>
          </w:tcPr>
          <w:p>
            <w:pPr>
              <w:widowControl/>
              <w:spacing w:line="440" w:lineRule="exact"/>
              <w:jc w:val="center"/>
              <w:textAlignment w:val="center"/>
              <w:rPr>
                <w:rFonts w:ascii="微软雅黑" w:hAnsi="微软雅黑" w:eastAsia="微软雅黑" w:cs="微软雅黑"/>
                <w:b/>
                <w:bCs/>
                <w:color w:val="000000"/>
                <w:szCs w:val="28"/>
              </w:rPr>
            </w:pPr>
            <w:r>
              <w:rPr>
                <w:rFonts w:hint="eastAsia" w:ascii="微软雅黑" w:hAnsi="微软雅黑" w:eastAsia="微软雅黑" w:cs="微软雅黑"/>
                <w:b/>
                <w:bCs/>
                <w:color w:val="000000"/>
                <w:kern w:val="0"/>
                <w:szCs w:val="28"/>
                <w:lang/>
              </w:rPr>
              <w:t>材料与配件名称</w:t>
            </w:r>
          </w:p>
        </w:tc>
        <w:tc>
          <w:tcPr>
            <w:tcW w:w="2551" w:type="dxa"/>
            <w:tcBorders>
              <w:top w:val="single" w:color="000000" w:sz="4" w:space="0"/>
              <w:left w:val="single" w:color="000000" w:sz="4" w:space="0"/>
              <w:bottom w:val="nil"/>
              <w:right w:val="single" w:color="000000" w:sz="4" w:space="0"/>
            </w:tcBorders>
            <w:vAlign w:val="top"/>
          </w:tcPr>
          <w:p>
            <w:pPr>
              <w:widowControl/>
              <w:spacing w:line="440" w:lineRule="exact"/>
              <w:jc w:val="center"/>
              <w:textAlignment w:val="center"/>
              <w:rPr>
                <w:rFonts w:ascii="微软雅黑" w:hAnsi="微软雅黑" w:eastAsia="微软雅黑" w:cs="微软雅黑"/>
                <w:b/>
                <w:bCs/>
                <w:color w:val="000000"/>
                <w:szCs w:val="28"/>
              </w:rPr>
            </w:pPr>
            <w:r>
              <w:rPr>
                <w:rFonts w:hint="eastAsia" w:ascii="微软雅黑" w:hAnsi="微软雅黑" w:eastAsia="微软雅黑" w:cs="微软雅黑"/>
                <w:b/>
                <w:bCs/>
                <w:color w:val="000000"/>
                <w:kern w:val="0"/>
                <w:szCs w:val="28"/>
                <w:lang/>
              </w:rPr>
              <w:t>品牌</w:t>
            </w:r>
          </w:p>
        </w:tc>
        <w:tc>
          <w:tcPr>
            <w:tcW w:w="2694" w:type="dxa"/>
            <w:tcBorders>
              <w:top w:val="single" w:color="000000" w:sz="4" w:space="0"/>
              <w:left w:val="single" w:color="000000" w:sz="4" w:space="0"/>
              <w:bottom w:val="nil"/>
              <w:right w:val="single" w:color="000000" w:sz="4" w:space="0"/>
            </w:tcBorders>
            <w:vAlign w:val="top"/>
          </w:tcPr>
          <w:p>
            <w:pPr>
              <w:widowControl/>
              <w:spacing w:line="440" w:lineRule="exact"/>
              <w:jc w:val="center"/>
              <w:textAlignment w:val="center"/>
              <w:rPr>
                <w:rFonts w:ascii="微软雅黑" w:hAnsi="微软雅黑" w:eastAsia="微软雅黑" w:cs="微软雅黑"/>
                <w:b/>
                <w:bCs/>
                <w:color w:val="000000"/>
                <w:szCs w:val="28"/>
              </w:rPr>
            </w:pPr>
            <w:r>
              <w:rPr>
                <w:rFonts w:hint="eastAsia" w:ascii="微软雅黑" w:hAnsi="微软雅黑" w:eastAsia="微软雅黑" w:cs="微软雅黑"/>
                <w:b/>
                <w:bCs/>
                <w:color w:val="000000"/>
                <w:kern w:val="0"/>
                <w:szCs w:val="28"/>
                <w:lang/>
              </w:rPr>
              <w:t>技术要求</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553" w:hRule="atLeast"/>
        </w:trPr>
        <w:tc>
          <w:tcPr>
            <w:tcW w:w="675" w:type="dxa"/>
            <w:tcBorders>
              <w:top w:val="single" w:color="000000" w:sz="4" w:space="0"/>
              <w:left w:val="single" w:color="000000" w:sz="4" w:space="0"/>
              <w:bottom w:val="single" w:color="000000" w:sz="4" w:space="0"/>
              <w:right w:val="single" w:color="000000" w:sz="4" w:space="0"/>
            </w:tcBorders>
            <w:vAlign w:val="center"/>
          </w:tcPr>
          <w:p>
            <w:pPr>
              <w:pStyle w:val="26"/>
              <w:spacing w:before="173" w:line="440" w:lineRule="exact"/>
              <w:ind w:right="210"/>
              <w:jc w:val="center"/>
              <w:rPr>
                <w:sz w:val="21"/>
              </w:rPr>
            </w:pPr>
            <w:r>
              <w:rPr>
                <w:rFonts w:hint="eastAsia"/>
                <w:sz w:val="21"/>
              </w:rPr>
              <w:t>1</w:t>
            </w:r>
          </w:p>
        </w:tc>
        <w:tc>
          <w:tcPr>
            <w:tcW w:w="1985" w:type="dxa"/>
            <w:tcBorders>
              <w:top w:val="single" w:color="000000" w:sz="4" w:space="0"/>
              <w:left w:val="single" w:color="000000" w:sz="4" w:space="0"/>
              <w:bottom w:val="single" w:color="000000" w:sz="4" w:space="0"/>
              <w:right w:val="single" w:color="000000" w:sz="4" w:space="0"/>
            </w:tcBorders>
            <w:vAlign w:val="top"/>
          </w:tcPr>
          <w:p>
            <w:pPr>
              <w:pStyle w:val="26"/>
              <w:spacing w:before="173" w:line="440" w:lineRule="exact"/>
              <w:ind w:right="210"/>
              <w:jc w:val="both"/>
              <w:rPr>
                <w:rFonts w:hint="eastAsia" w:eastAsia="宋体"/>
                <w:sz w:val="21"/>
                <w:lang w:val="en-US" w:eastAsia="zh-CN"/>
              </w:rPr>
            </w:pPr>
            <w:r>
              <w:rPr>
                <w:rFonts w:hint="eastAsia"/>
                <w:sz w:val="21"/>
                <w:lang w:val="en-US" w:eastAsia="zh-CN"/>
              </w:rPr>
              <w:t>电力电缆</w:t>
            </w:r>
          </w:p>
        </w:tc>
        <w:tc>
          <w:tcPr>
            <w:tcW w:w="2551" w:type="dxa"/>
            <w:tcBorders>
              <w:top w:val="single" w:color="000000" w:sz="4" w:space="0"/>
              <w:left w:val="single" w:color="000000" w:sz="4" w:space="0"/>
              <w:bottom w:val="single" w:color="000000" w:sz="4" w:space="0"/>
              <w:right w:val="single" w:color="000000" w:sz="4" w:space="0"/>
            </w:tcBorders>
            <w:vAlign w:val="top"/>
          </w:tcPr>
          <w:p>
            <w:pPr>
              <w:pStyle w:val="26"/>
              <w:spacing w:before="173" w:line="440" w:lineRule="exact"/>
              <w:ind w:right="210"/>
              <w:jc w:val="both"/>
              <w:rPr>
                <w:sz w:val="21"/>
              </w:rPr>
            </w:pPr>
            <w:r>
              <w:rPr>
                <w:rFonts w:hint="eastAsia"/>
                <w:sz w:val="21"/>
                <w:lang w:val="en-US" w:eastAsia="zh-CN"/>
              </w:rPr>
              <w:t>江苏</w:t>
            </w:r>
            <w:bookmarkStart w:id="10" w:name="_GoBack"/>
            <w:bookmarkEnd w:id="10"/>
            <w:r>
              <w:rPr>
                <w:rFonts w:hint="eastAsia"/>
                <w:sz w:val="21"/>
              </w:rPr>
              <w:t>上上、宝胜、远东、熊猫、江南品牌</w:t>
            </w:r>
          </w:p>
        </w:tc>
        <w:tc>
          <w:tcPr>
            <w:tcW w:w="2694" w:type="dxa"/>
            <w:tcBorders>
              <w:top w:val="single" w:color="000000" w:sz="4" w:space="0"/>
              <w:left w:val="single" w:color="000000" w:sz="4" w:space="0"/>
              <w:bottom w:val="single" w:color="000000" w:sz="4" w:space="0"/>
              <w:right w:val="single" w:color="000000" w:sz="4" w:space="0"/>
            </w:tcBorders>
            <w:vAlign w:val="top"/>
          </w:tcPr>
          <w:p>
            <w:pPr>
              <w:pStyle w:val="26"/>
              <w:spacing w:before="173" w:line="440" w:lineRule="exact"/>
              <w:ind w:right="210"/>
              <w:jc w:val="both"/>
              <w:rPr>
                <w:sz w:val="21"/>
              </w:rPr>
            </w:pPr>
            <w:r>
              <w:rPr>
                <w:rFonts w:hint="eastAsia"/>
                <w:sz w:val="21"/>
              </w:rPr>
              <w:t>按设计说明要求</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Layout w:type="fixed"/>
          <w:tblCellMar>
            <w:top w:w="0" w:type="dxa"/>
            <w:left w:w="108" w:type="dxa"/>
            <w:bottom w:w="0" w:type="dxa"/>
            <w:right w:w="108" w:type="dxa"/>
          </w:tblCellMar>
        </w:tblPrEx>
        <w:trPr>
          <w:trHeight w:val="622" w:hRule="atLeast"/>
        </w:trPr>
        <w:tc>
          <w:tcPr>
            <w:tcW w:w="675" w:type="dxa"/>
            <w:tcBorders>
              <w:top w:val="single" w:color="000000" w:sz="4" w:space="0"/>
              <w:left w:val="single" w:color="000000" w:sz="4" w:space="0"/>
              <w:right w:val="single" w:color="000000" w:sz="4" w:space="0"/>
            </w:tcBorders>
            <w:vAlign w:val="center"/>
          </w:tcPr>
          <w:p>
            <w:pPr>
              <w:pStyle w:val="26"/>
              <w:spacing w:before="173" w:line="440" w:lineRule="exact"/>
              <w:ind w:right="210"/>
              <w:rPr>
                <w:sz w:val="21"/>
              </w:rPr>
            </w:pPr>
            <w:r>
              <w:rPr>
                <w:rFonts w:hint="eastAsia"/>
                <w:sz w:val="21"/>
              </w:rPr>
              <w:t>2</w:t>
            </w:r>
          </w:p>
        </w:tc>
        <w:tc>
          <w:tcPr>
            <w:tcW w:w="1985" w:type="dxa"/>
            <w:tcBorders>
              <w:top w:val="single" w:color="000000" w:sz="4" w:space="0"/>
              <w:left w:val="single" w:color="000000" w:sz="4" w:space="0"/>
              <w:bottom w:val="single" w:color="000000" w:sz="4" w:space="0"/>
              <w:right w:val="single" w:color="000000" w:sz="4" w:space="0"/>
            </w:tcBorders>
            <w:vAlign w:val="top"/>
          </w:tcPr>
          <w:p>
            <w:pPr>
              <w:pStyle w:val="26"/>
              <w:spacing w:before="173" w:line="440" w:lineRule="exact"/>
              <w:ind w:right="210"/>
              <w:jc w:val="both"/>
              <w:rPr>
                <w:rFonts w:hint="eastAsia" w:eastAsia="宋体"/>
                <w:sz w:val="21"/>
                <w:lang w:val="en-US" w:eastAsia="zh-CN"/>
              </w:rPr>
            </w:pPr>
            <w:r>
              <w:rPr>
                <w:rFonts w:hint="eastAsia"/>
                <w:sz w:val="21"/>
                <w:lang w:val="en-US" w:eastAsia="zh-CN"/>
              </w:rPr>
              <w:t>母线</w:t>
            </w:r>
          </w:p>
        </w:tc>
        <w:tc>
          <w:tcPr>
            <w:tcW w:w="2551" w:type="dxa"/>
            <w:tcBorders>
              <w:top w:val="single" w:color="000000" w:sz="4" w:space="0"/>
              <w:left w:val="single" w:color="000000" w:sz="4" w:space="0"/>
              <w:bottom w:val="single" w:color="000000" w:sz="4" w:space="0"/>
              <w:right w:val="single" w:color="000000" w:sz="4" w:space="0"/>
            </w:tcBorders>
            <w:vAlign w:val="top"/>
          </w:tcPr>
          <w:p>
            <w:pPr>
              <w:pStyle w:val="26"/>
              <w:spacing w:before="173" w:line="440" w:lineRule="exact"/>
              <w:ind w:right="210"/>
              <w:jc w:val="both"/>
              <w:rPr>
                <w:sz w:val="21"/>
              </w:rPr>
            </w:pPr>
            <w:r>
              <w:rPr>
                <w:rFonts w:hint="eastAsia"/>
                <w:sz w:val="21"/>
              </w:rPr>
              <w:t>江苏亿能电气、江苏华维电力、西朗电气</w:t>
            </w:r>
          </w:p>
        </w:tc>
        <w:tc>
          <w:tcPr>
            <w:tcW w:w="2694" w:type="dxa"/>
            <w:tcBorders>
              <w:top w:val="single" w:color="000000" w:sz="4" w:space="0"/>
              <w:left w:val="single" w:color="000000" w:sz="4" w:space="0"/>
              <w:bottom w:val="single" w:color="000000" w:sz="4" w:space="0"/>
              <w:right w:val="single" w:color="000000" w:sz="4" w:space="0"/>
            </w:tcBorders>
            <w:vAlign w:val="top"/>
          </w:tcPr>
          <w:p>
            <w:pPr>
              <w:pStyle w:val="26"/>
              <w:spacing w:before="173" w:line="440" w:lineRule="exact"/>
              <w:ind w:right="210"/>
              <w:jc w:val="both"/>
              <w:rPr>
                <w:sz w:val="21"/>
              </w:rPr>
            </w:pPr>
            <w:r>
              <w:rPr>
                <w:rFonts w:hint="eastAsia"/>
                <w:sz w:val="21"/>
              </w:rPr>
              <w:t>按设计说明要求</w:t>
            </w:r>
          </w:p>
        </w:tc>
      </w:tr>
    </w:tbl>
    <w:p>
      <w:pPr>
        <w:autoSpaceDE w:val="0"/>
        <w:autoSpaceDN w:val="0"/>
        <w:adjustRightInd w:val="0"/>
        <w:snapToGrid w:val="0"/>
        <w:spacing w:line="440" w:lineRule="exact"/>
        <w:jc w:val="left"/>
        <w:outlineLvl w:val="0"/>
        <w:rPr>
          <w:rFonts w:ascii="宋体" w:hAnsi="宋体" w:eastAsia="宋体"/>
          <w:sz w:val="24"/>
        </w:rPr>
      </w:pPr>
    </w:p>
    <w:p>
      <w:pPr>
        <w:autoSpaceDE w:val="0"/>
        <w:autoSpaceDN w:val="0"/>
        <w:adjustRightInd w:val="0"/>
        <w:snapToGrid w:val="0"/>
        <w:spacing w:line="440" w:lineRule="exact"/>
        <w:jc w:val="left"/>
        <w:outlineLvl w:val="0"/>
        <w:rPr>
          <w:rFonts w:ascii="宋体" w:hAnsi="宋体" w:eastAsia="宋体"/>
          <w:sz w:val="24"/>
        </w:rPr>
        <w:sectPr>
          <w:footerReference r:id="rId4" w:type="default"/>
          <w:pgSz w:w="11906" w:h="16838"/>
          <w:pgMar w:top="1440" w:right="1800" w:bottom="1440" w:left="1800" w:header="851" w:footer="992" w:gutter="0"/>
          <w:cols w:space="720" w:num="1"/>
          <w:docGrid w:type="lines" w:linePitch="312" w:charSpace="0"/>
        </w:sectPr>
      </w:pPr>
    </w:p>
    <w:p>
      <w:pPr>
        <w:pStyle w:val="22"/>
        <w:numPr>
          <w:ilvl w:val="0"/>
          <w:numId w:val="4"/>
        </w:numPr>
        <w:autoSpaceDE w:val="0"/>
        <w:autoSpaceDN w:val="0"/>
        <w:adjustRightInd w:val="0"/>
        <w:snapToGrid w:val="0"/>
        <w:spacing w:line="440" w:lineRule="exact"/>
        <w:ind w:firstLineChars="0"/>
        <w:jc w:val="left"/>
        <w:outlineLvl w:val="0"/>
        <w:rPr>
          <w:rFonts w:ascii="宋体" w:hAnsi="宋体" w:eastAsia="宋体"/>
          <w:b/>
          <w:sz w:val="24"/>
        </w:rPr>
      </w:pPr>
      <w:r>
        <w:rPr>
          <w:rFonts w:hint="eastAsia" w:ascii="宋体" w:hAnsi="宋体" w:eastAsia="宋体"/>
          <w:b/>
          <w:sz w:val="24"/>
        </w:rPr>
        <w:t>附表</w:t>
      </w:r>
      <w:r>
        <w:rPr>
          <w:rFonts w:ascii="宋体" w:hAnsi="宋体" w:eastAsia="宋体"/>
          <w:b/>
          <w:sz w:val="24"/>
        </w:rPr>
        <w:t>2</w:t>
      </w:r>
      <w:r>
        <w:rPr>
          <w:rFonts w:hint="eastAsia" w:ascii="宋体" w:hAnsi="宋体" w:eastAsia="宋体"/>
          <w:b/>
          <w:sz w:val="24"/>
        </w:rPr>
        <w:t>：拟选项目经理简历表</w:t>
      </w:r>
    </w:p>
    <w:tbl>
      <w:tblPr>
        <w:tblW w:w="8898" w:type="dxa"/>
        <w:jc w:val="center"/>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130"/>
        <w:gridCol w:w="986"/>
        <w:gridCol w:w="800"/>
        <w:gridCol w:w="1633"/>
        <w:gridCol w:w="1550"/>
        <w:gridCol w:w="2799"/>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631" w:hRule="atLeast"/>
          <w:jc w:val="center"/>
        </w:trPr>
        <w:tc>
          <w:tcPr>
            <w:tcW w:w="1130" w:type="dxa"/>
            <w:vAlign w:val="top"/>
          </w:tcPr>
          <w:p>
            <w:pPr>
              <w:pStyle w:val="26"/>
              <w:spacing w:before="173" w:line="440" w:lineRule="exact"/>
              <w:ind w:left="420" w:right="188"/>
              <w:jc w:val="center"/>
              <w:rPr>
                <w:sz w:val="21"/>
              </w:rPr>
            </w:pPr>
            <w:r>
              <w:rPr>
                <w:sz w:val="21"/>
              </w:rPr>
              <w:t>姓名</w:t>
            </w:r>
          </w:p>
        </w:tc>
        <w:tc>
          <w:tcPr>
            <w:tcW w:w="986" w:type="dxa"/>
            <w:vAlign w:val="top"/>
          </w:tcPr>
          <w:p>
            <w:pPr>
              <w:pStyle w:val="26"/>
              <w:spacing w:line="440" w:lineRule="exact"/>
              <w:ind w:left="420" w:firstLine="200"/>
              <w:jc w:val="center"/>
              <w:rPr>
                <w:sz w:val="20"/>
              </w:rPr>
            </w:pPr>
          </w:p>
        </w:tc>
        <w:tc>
          <w:tcPr>
            <w:tcW w:w="800" w:type="dxa"/>
            <w:vAlign w:val="top"/>
          </w:tcPr>
          <w:p>
            <w:pPr>
              <w:pStyle w:val="26"/>
              <w:spacing w:before="173" w:line="440" w:lineRule="exact"/>
              <w:jc w:val="center"/>
              <w:rPr>
                <w:sz w:val="21"/>
              </w:rPr>
            </w:pPr>
            <w:r>
              <w:rPr>
                <w:rFonts w:hint="eastAsia"/>
                <w:sz w:val="21"/>
              </w:rPr>
              <w:t>性别</w:t>
            </w:r>
          </w:p>
        </w:tc>
        <w:tc>
          <w:tcPr>
            <w:tcW w:w="1633" w:type="dxa"/>
            <w:tcBorders>
              <w:right w:val="single" w:color="auto" w:sz="4" w:space="0"/>
            </w:tcBorders>
            <w:vAlign w:val="top"/>
          </w:tcPr>
          <w:p>
            <w:pPr>
              <w:pStyle w:val="26"/>
              <w:spacing w:before="173" w:line="440" w:lineRule="exact"/>
              <w:ind w:left="420"/>
              <w:jc w:val="center"/>
              <w:rPr>
                <w:sz w:val="21"/>
              </w:rPr>
            </w:pPr>
          </w:p>
        </w:tc>
        <w:tc>
          <w:tcPr>
            <w:tcW w:w="1550" w:type="dxa"/>
            <w:tcBorders>
              <w:left w:val="single" w:color="auto" w:sz="4" w:space="0"/>
            </w:tcBorders>
            <w:vAlign w:val="top"/>
          </w:tcPr>
          <w:p>
            <w:pPr>
              <w:pStyle w:val="26"/>
              <w:spacing w:before="173" w:line="440" w:lineRule="exact"/>
              <w:ind w:left="420" w:right="210"/>
              <w:jc w:val="center"/>
              <w:rPr>
                <w:sz w:val="21"/>
              </w:rPr>
            </w:pPr>
            <w:r>
              <w:rPr>
                <w:sz w:val="21"/>
              </w:rPr>
              <w:t>年龄</w:t>
            </w:r>
          </w:p>
        </w:tc>
        <w:tc>
          <w:tcPr>
            <w:tcW w:w="2799" w:type="dxa"/>
            <w:vAlign w:val="top"/>
          </w:tcPr>
          <w:p>
            <w:pPr>
              <w:pStyle w:val="26"/>
              <w:spacing w:line="440" w:lineRule="exact"/>
              <w:ind w:left="420"/>
              <w:jc w:val="center"/>
              <w:rPr>
                <w:sz w:val="2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631" w:hRule="atLeast"/>
          <w:jc w:val="center"/>
        </w:trPr>
        <w:tc>
          <w:tcPr>
            <w:tcW w:w="1130" w:type="dxa"/>
            <w:vAlign w:val="top"/>
          </w:tcPr>
          <w:p>
            <w:pPr>
              <w:pStyle w:val="26"/>
              <w:spacing w:before="173" w:line="440" w:lineRule="exact"/>
              <w:ind w:left="420" w:right="188"/>
              <w:jc w:val="center"/>
              <w:rPr>
                <w:sz w:val="21"/>
              </w:rPr>
            </w:pPr>
            <w:r>
              <w:rPr>
                <w:rFonts w:hint="eastAsia"/>
                <w:sz w:val="21"/>
              </w:rPr>
              <w:t>专业</w:t>
            </w:r>
          </w:p>
        </w:tc>
        <w:tc>
          <w:tcPr>
            <w:tcW w:w="986" w:type="dxa"/>
            <w:vAlign w:val="top"/>
          </w:tcPr>
          <w:p>
            <w:pPr>
              <w:pStyle w:val="26"/>
              <w:spacing w:line="440" w:lineRule="exact"/>
              <w:ind w:left="420" w:firstLine="200"/>
              <w:jc w:val="center"/>
              <w:rPr>
                <w:sz w:val="20"/>
              </w:rPr>
            </w:pPr>
          </w:p>
        </w:tc>
        <w:tc>
          <w:tcPr>
            <w:tcW w:w="800" w:type="dxa"/>
            <w:vAlign w:val="top"/>
          </w:tcPr>
          <w:p>
            <w:pPr>
              <w:pStyle w:val="26"/>
              <w:spacing w:before="173" w:line="440" w:lineRule="exact"/>
              <w:jc w:val="center"/>
              <w:rPr>
                <w:sz w:val="21"/>
              </w:rPr>
            </w:pPr>
            <w:r>
              <w:rPr>
                <w:rFonts w:hint="eastAsia"/>
                <w:sz w:val="21"/>
              </w:rPr>
              <w:t>职称</w:t>
            </w:r>
          </w:p>
        </w:tc>
        <w:tc>
          <w:tcPr>
            <w:tcW w:w="1633" w:type="dxa"/>
            <w:tcBorders>
              <w:right w:val="single" w:color="auto" w:sz="4" w:space="0"/>
            </w:tcBorders>
            <w:vAlign w:val="top"/>
          </w:tcPr>
          <w:p>
            <w:pPr>
              <w:pStyle w:val="26"/>
              <w:spacing w:before="173" w:line="440" w:lineRule="exact"/>
              <w:ind w:left="420"/>
              <w:jc w:val="center"/>
              <w:rPr>
                <w:sz w:val="21"/>
              </w:rPr>
            </w:pPr>
          </w:p>
        </w:tc>
        <w:tc>
          <w:tcPr>
            <w:tcW w:w="1550" w:type="dxa"/>
            <w:tcBorders>
              <w:left w:val="single" w:color="auto" w:sz="4" w:space="0"/>
            </w:tcBorders>
            <w:vAlign w:val="top"/>
          </w:tcPr>
          <w:p>
            <w:pPr>
              <w:pStyle w:val="26"/>
              <w:spacing w:before="173" w:line="440" w:lineRule="exact"/>
              <w:ind w:left="420" w:right="210"/>
              <w:jc w:val="center"/>
              <w:rPr>
                <w:sz w:val="21"/>
              </w:rPr>
            </w:pPr>
            <w:r>
              <w:rPr>
                <w:rFonts w:hint="eastAsia"/>
                <w:sz w:val="21"/>
              </w:rPr>
              <w:t>学历</w:t>
            </w:r>
          </w:p>
        </w:tc>
        <w:tc>
          <w:tcPr>
            <w:tcW w:w="2799" w:type="dxa"/>
            <w:vAlign w:val="top"/>
          </w:tcPr>
          <w:p>
            <w:pPr>
              <w:pStyle w:val="26"/>
              <w:spacing w:line="440" w:lineRule="exact"/>
              <w:ind w:left="420"/>
              <w:jc w:val="center"/>
              <w:rPr>
                <w:sz w:val="2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631" w:hRule="atLeast"/>
          <w:jc w:val="center"/>
        </w:trPr>
        <w:tc>
          <w:tcPr>
            <w:tcW w:w="2116" w:type="dxa"/>
            <w:gridSpan w:val="2"/>
            <w:tcBorders>
              <w:right w:val="single" w:color="auto" w:sz="4" w:space="0"/>
            </w:tcBorders>
            <w:vAlign w:val="top"/>
          </w:tcPr>
          <w:p>
            <w:pPr>
              <w:pStyle w:val="26"/>
              <w:spacing w:before="173" w:line="440" w:lineRule="exact"/>
              <w:jc w:val="center"/>
              <w:rPr>
                <w:sz w:val="21"/>
              </w:rPr>
            </w:pPr>
            <w:r>
              <w:rPr>
                <w:sz w:val="21"/>
              </w:rPr>
              <w:t>从事项目</w:t>
            </w:r>
            <w:r>
              <w:rPr>
                <w:rFonts w:hint="eastAsia"/>
                <w:sz w:val="21"/>
              </w:rPr>
              <w:t>经理</w:t>
            </w:r>
            <w:r>
              <w:rPr>
                <w:sz w:val="21"/>
              </w:rPr>
              <w:t>年限</w:t>
            </w:r>
          </w:p>
        </w:tc>
        <w:tc>
          <w:tcPr>
            <w:tcW w:w="2433" w:type="dxa"/>
            <w:gridSpan w:val="2"/>
            <w:tcBorders>
              <w:left w:val="single" w:color="auto" w:sz="4" w:space="0"/>
              <w:right w:val="single" w:color="auto" w:sz="4" w:space="0"/>
            </w:tcBorders>
            <w:vAlign w:val="top"/>
          </w:tcPr>
          <w:p>
            <w:pPr>
              <w:pStyle w:val="26"/>
              <w:spacing w:before="173" w:line="440" w:lineRule="exact"/>
              <w:ind w:left="420"/>
              <w:rPr>
                <w:sz w:val="21"/>
              </w:rPr>
            </w:pPr>
          </w:p>
        </w:tc>
        <w:tc>
          <w:tcPr>
            <w:tcW w:w="1550" w:type="dxa"/>
            <w:tcBorders>
              <w:left w:val="single" w:color="auto" w:sz="4" w:space="0"/>
            </w:tcBorders>
            <w:vAlign w:val="top"/>
          </w:tcPr>
          <w:p>
            <w:pPr>
              <w:pStyle w:val="26"/>
              <w:spacing w:before="173" w:line="440" w:lineRule="exact"/>
              <w:jc w:val="center"/>
              <w:rPr>
                <w:sz w:val="21"/>
              </w:rPr>
            </w:pPr>
            <w:r>
              <w:rPr>
                <w:sz w:val="21"/>
              </w:rPr>
              <w:t>到位率承诺</w:t>
            </w:r>
          </w:p>
        </w:tc>
        <w:tc>
          <w:tcPr>
            <w:tcW w:w="2799" w:type="dxa"/>
            <w:vAlign w:val="top"/>
          </w:tcPr>
          <w:p>
            <w:pPr>
              <w:pStyle w:val="26"/>
              <w:spacing w:line="440" w:lineRule="exact"/>
              <w:ind w:left="420" w:firstLine="200"/>
              <w:rPr>
                <w:sz w:val="2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7300" w:hRule="atLeast"/>
          <w:jc w:val="center"/>
        </w:trPr>
        <w:tc>
          <w:tcPr>
            <w:tcW w:w="1130" w:type="dxa"/>
            <w:vAlign w:val="top"/>
          </w:tcPr>
          <w:p>
            <w:pPr>
              <w:pStyle w:val="26"/>
              <w:spacing w:line="440" w:lineRule="exact"/>
              <w:ind w:left="420" w:firstLine="200"/>
              <w:rPr>
                <w:rFonts w:hint="eastAsia" w:ascii="ˎ̥" w:hAnsi="ˎ̥"/>
                <w:sz w:val="24"/>
              </w:rPr>
            </w:pPr>
          </w:p>
          <w:p>
            <w:pPr>
              <w:pStyle w:val="26"/>
              <w:spacing w:line="440" w:lineRule="exact"/>
              <w:ind w:left="420" w:firstLine="200"/>
              <w:rPr>
                <w:rFonts w:hint="eastAsia" w:ascii="ˎ̥" w:hAnsi="ˎ̥"/>
                <w:sz w:val="24"/>
              </w:rPr>
            </w:pPr>
          </w:p>
          <w:p>
            <w:pPr>
              <w:pStyle w:val="26"/>
              <w:spacing w:line="440" w:lineRule="exact"/>
              <w:ind w:left="420" w:firstLine="200"/>
              <w:rPr>
                <w:rFonts w:hint="eastAsia" w:ascii="ˎ̥" w:hAnsi="ˎ̥"/>
                <w:sz w:val="24"/>
              </w:rPr>
            </w:pPr>
          </w:p>
          <w:p>
            <w:pPr>
              <w:pStyle w:val="26"/>
              <w:spacing w:line="440" w:lineRule="exact"/>
              <w:ind w:left="420" w:firstLine="200"/>
              <w:rPr>
                <w:rFonts w:hint="eastAsia" w:ascii="ˎ̥" w:hAnsi="ˎ̥"/>
                <w:sz w:val="24"/>
              </w:rPr>
            </w:pPr>
          </w:p>
          <w:p>
            <w:pPr>
              <w:pStyle w:val="26"/>
              <w:spacing w:line="440" w:lineRule="exact"/>
              <w:ind w:left="420" w:firstLine="200"/>
              <w:rPr>
                <w:rFonts w:hint="eastAsia" w:ascii="ˎ̥" w:hAnsi="ˎ̥"/>
                <w:sz w:val="24"/>
              </w:rPr>
            </w:pPr>
          </w:p>
          <w:p>
            <w:pPr>
              <w:pStyle w:val="26"/>
              <w:spacing w:before="7" w:line="440" w:lineRule="exact"/>
              <w:ind w:left="420"/>
              <w:rPr>
                <w:rFonts w:hint="eastAsia" w:ascii="ˎ̥" w:hAnsi="ˎ̥"/>
                <w:sz w:val="24"/>
              </w:rPr>
            </w:pPr>
          </w:p>
          <w:p>
            <w:pPr>
              <w:pStyle w:val="26"/>
              <w:spacing w:line="440" w:lineRule="exact"/>
              <w:jc w:val="center"/>
              <w:rPr>
                <w:rFonts w:hint="eastAsia" w:ascii="ˎ̥" w:hAnsi="ˎ̥"/>
                <w:sz w:val="24"/>
              </w:rPr>
            </w:pPr>
            <w:r>
              <w:rPr>
                <w:rFonts w:hint="eastAsia" w:ascii="ˎ̥" w:hAnsi="ˎ̥"/>
                <w:sz w:val="24"/>
              </w:rPr>
              <w:t>简</w:t>
            </w:r>
          </w:p>
          <w:p>
            <w:pPr>
              <w:pStyle w:val="26"/>
              <w:spacing w:line="440" w:lineRule="exact"/>
              <w:jc w:val="center"/>
              <w:rPr>
                <w:rFonts w:hint="eastAsia" w:ascii="ˎ̥" w:hAnsi="ˎ̥"/>
                <w:sz w:val="24"/>
              </w:rPr>
            </w:pPr>
            <w:r>
              <w:rPr>
                <w:rFonts w:hint="eastAsia" w:ascii="ˎ̥" w:hAnsi="ˎ̥"/>
                <w:sz w:val="24"/>
              </w:rPr>
              <w:t>历</w:t>
            </w:r>
          </w:p>
        </w:tc>
        <w:tc>
          <w:tcPr>
            <w:tcW w:w="7768" w:type="dxa"/>
            <w:gridSpan w:val="5"/>
            <w:vAlign w:val="top"/>
          </w:tcPr>
          <w:p>
            <w:pPr>
              <w:pStyle w:val="26"/>
              <w:spacing w:line="440" w:lineRule="exact"/>
              <w:ind w:left="420" w:firstLine="200"/>
              <w:jc w:val="both"/>
              <w:rPr>
                <w:rFonts w:hint="eastAsia" w:ascii="ˎ̥" w:hAnsi="ˎ̥"/>
                <w:sz w:val="24"/>
              </w:rPr>
            </w:pPr>
            <w:r>
              <w:rPr>
                <w:rFonts w:hint="eastAsia" w:ascii="ˎ̥" w:hAnsi="ˎ̥"/>
                <w:sz w:val="24"/>
              </w:rPr>
              <w:t>资历、</w:t>
            </w:r>
          </w:p>
          <w:p>
            <w:pPr>
              <w:pStyle w:val="26"/>
              <w:spacing w:line="440" w:lineRule="exact"/>
              <w:ind w:left="420" w:firstLine="200"/>
              <w:jc w:val="both"/>
              <w:rPr>
                <w:rFonts w:hint="eastAsia" w:ascii="ˎ̥" w:hAnsi="ˎ̥"/>
                <w:sz w:val="24"/>
              </w:rPr>
            </w:pPr>
            <w:r>
              <w:rPr>
                <w:rFonts w:hint="eastAsia" w:ascii="ˎ̥" w:hAnsi="ˎ̥"/>
                <w:sz w:val="24"/>
              </w:rPr>
              <w:t>项目经验、</w:t>
            </w:r>
          </w:p>
          <w:p>
            <w:pPr>
              <w:pStyle w:val="26"/>
              <w:spacing w:line="440" w:lineRule="exact"/>
              <w:ind w:left="420" w:firstLine="200"/>
              <w:jc w:val="both"/>
              <w:rPr>
                <w:rFonts w:hint="eastAsia" w:ascii="ˎ̥" w:hAnsi="ˎ̥"/>
                <w:sz w:val="24"/>
              </w:rPr>
            </w:pPr>
            <w:r>
              <w:rPr>
                <w:rFonts w:hint="eastAsia" w:ascii="ˎ̥" w:hAnsi="ˎ̥"/>
                <w:sz w:val="24"/>
              </w:rPr>
              <w:t>获奖、</w:t>
            </w:r>
          </w:p>
          <w:p>
            <w:pPr>
              <w:pStyle w:val="26"/>
              <w:spacing w:line="440" w:lineRule="exact"/>
              <w:ind w:left="420" w:firstLine="200"/>
              <w:jc w:val="both"/>
              <w:rPr>
                <w:rFonts w:hint="eastAsia" w:ascii="ˎ̥" w:hAnsi="ˎ̥"/>
                <w:sz w:val="24"/>
              </w:rPr>
            </w:pPr>
            <w:r>
              <w:rPr>
                <w:rFonts w:hint="eastAsia" w:ascii="ˎ̥" w:hAnsi="ˎ̥"/>
                <w:sz w:val="24"/>
              </w:rPr>
              <w:t>业绩等信息</w:t>
            </w:r>
          </w:p>
        </w:tc>
      </w:tr>
    </w:tbl>
    <w:p>
      <w:pPr>
        <w:spacing w:before="21" w:line="440" w:lineRule="exact"/>
        <w:rPr>
          <w:rFonts w:ascii="宋体" w:hAnsi="宋体"/>
          <w:b/>
        </w:rPr>
      </w:pPr>
      <w:r>
        <w:rPr>
          <w:rFonts w:ascii="宋体" w:hAnsi="宋体"/>
          <w:b/>
        </w:rPr>
        <w:t>注</w:t>
      </w:r>
      <w:r>
        <w:rPr>
          <w:rFonts w:hint="eastAsia" w:ascii="宋体" w:hAnsi="宋体"/>
          <w:b/>
        </w:rPr>
        <w:t>：</w:t>
      </w:r>
      <w:r>
        <w:rPr>
          <w:rFonts w:ascii="宋体" w:hAnsi="宋体"/>
          <w:b/>
        </w:rPr>
        <w:t>1、</w:t>
      </w:r>
      <w:r>
        <w:rPr>
          <w:rFonts w:hint="eastAsia" w:ascii="宋体" w:hAnsi="宋体"/>
          <w:b/>
        </w:rPr>
        <w:t>需提供相关学历证书、职业资格证书、社保证明；</w:t>
      </w:r>
    </w:p>
    <w:p>
      <w:pPr>
        <w:spacing w:before="21" w:line="440" w:lineRule="exact"/>
        <w:ind w:firstLine="422" w:firstLineChars="200"/>
        <w:rPr>
          <w:rFonts w:ascii="宋体" w:hAnsi="宋体"/>
          <w:b/>
        </w:rPr>
      </w:pPr>
      <w:r>
        <w:rPr>
          <w:rFonts w:hint="eastAsia" w:ascii="宋体" w:hAnsi="宋体"/>
          <w:b/>
        </w:rPr>
        <w:t>2、已完工项目业主方评价（如有）</w:t>
      </w:r>
      <w:r>
        <w:rPr>
          <w:rFonts w:ascii="宋体" w:hAnsi="宋体"/>
          <w:b/>
        </w:rPr>
        <w:t xml:space="preserve"> </w:t>
      </w:r>
    </w:p>
    <w:p>
      <w:pPr>
        <w:spacing w:before="21" w:line="440" w:lineRule="exact"/>
        <w:rPr>
          <w:rFonts w:ascii="宋体" w:hAnsi="宋体"/>
        </w:rPr>
      </w:pPr>
    </w:p>
    <w:p>
      <w:pPr>
        <w:spacing w:before="21" w:line="440" w:lineRule="exact"/>
        <w:ind w:left="427"/>
        <w:rPr>
          <w:rFonts w:ascii="宋体" w:hAnsi="宋体"/>
        </w:rPr>
      </w:pPr>
      <w:r>
        <w:rPr>
          <w:rFonts w:ascii="宋体" w:hAnsi="宋体"/>
        </w:rPr>
        <w:t>投标</w:t>
      </w:r>
      <w:r>
        <w:rPr>
          <w:rFonts w:hint="eastAsia" w:ascii="宋体" w:hAnsi="宋体"/>
        </w:rPr>
        <w:t>方</w:t>
      </w:r>
      <w:r>
        <w:rPr>
          <w:rFonts w:ascii="宋体" w:hAnsi="宋体"/>
        </w:rPr>
        <w:t>（盖单位公章）：法定代表人或委托代理人（签字或盖章）：</w:t>
      </w:r>
    </w:p>
    <w:p>
      <w:pPr>
        <w:widowControl/>
        <w:snapToGrid w:val="0"/>
        <w:spacing w:line="440" w:lineRule="exact"/>
        <w:jc w:val="left"/>
        <w:rPr>
          <w:rFonts w:ascii="宋体" w:hAnsi="宋体" w:eastAsia="宋体"/>
          <w:sz w:val="24"/>
        </w:rPr>
      </w:pPr>
    </w:p>
    <w:p>
      <w:pPr>
        <w:widowControl/>
        <w:spacing w:line="440" w:lineRule="exact"/>
        <w:jc w:val="left"/>
        <w:rPr>
          <w:rFonts w:ascii="宋体" w:hAnsi="宋体" w:eastAsia="宋体"/>
          <w:sz w:val="24"/>
        </w:rPr>
      </w:pPr>
      <w:r>
        <w:rPr>
          <w:rFonts w:ascii="宋体" w:hAnsi="宋体" w:eastAsia="宋体"/>
          <w:sz w:val="24"/>
        </w:rPr>
        <w:br w:type="page"/>
      </w:r>
    </w:p>
    <w:p>
      <w:pPr>
        <w:pStyle w:val="22"/>
        <w:numPr>
          <w:ilvl w:val="0"/>
          <w:numId w:val="4"/>
        </w:numPr>
        <w:autoSpaceDE w:val="0"/>
        <w:autoSpaceDN w:val="0"/>
        <w:adjustRightInd w:val="0"/>
        <w:snapToGrid w:val="0"/>
        <w:spacing w:line="440" w:lineRule="exact"/>
        <w:ind w:firstLineChars="0"/>
        <w:jc w:val="left"/>
        <w:outlineLvl w:val="0"/>
        <w:rPr>
          <w:rFonts w:ascii="宋体" w:hAnsi="宋体" w:eastAsia="宋体"/>
          <w:b/>
          <w:sz w:val="24"/>
        </w:rPr>
      </w:pPr>
      <w:r>
        <w:rPr>
          <w:rFonts w:hint="eastAsia" w:ascii="宋体" w:hAnsi="宋体" w:eastAsia="宋体"/>
          <w:b/>
          <w:sz w:val="24"/>
        </w:rPr>
        <w:t>附表3：拟选项目技术</w:t>
      </w:r>
      <w:r>
        <w:rPr>
          <w:rFonts w:ascii="宋体" w:hAnsi="宋体" w:eastAsia="宋体"/>
          <w:b/>
          <w:sz w:val="24"/>
        </w:rPr>
        <w:t>负责人简历表</w:t>
      </w:r>
    </w:p>
    <w:tbl>
      <w:tblPr>
        <w:tblW w:w="8682" w:type="dxa"/>
        <w:tblInd w:w="-137"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103"/>
        <w:gridCol w:w="882"/>
        <w:gridCol w:w="860"/>
        <w:gridCol w:w="1266"/>
        <w:gridCol w:w="1840"/>
        <w:gridCol w:w="2731"/>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623" w:hRule="atLeast"/>
        </w:trPr>
        <w:tc>
          <w:tcPr>
            <w:tcW w:w="1103" w:type="dxa"/>
            <w:vAlign w:val="center"/>
          </w:tcPr>
          <w:p>
            <w:pPr>
              <w:pStyle w:val="26"/>
              <w:spacing w:before="173" w:line="440" w:lineRule="exact"/>
              <w:ind w:left="420" w:right="188"/>
              <w:jc w:val="center"/>
              <w:rPr>
                <w:sz w:val="21"/>
              </w:rPr>
            </w:pPr>
            <w:r>
              <w:rPr>
                <w:sz w:val="21"/>
              </w:rPr>
              <w:t>姓名</w:t>
            </w:r>
          </w:p>
        </w:tc>
        <w:tc>
          <w:tcPr>
            <w:tcW w:w="882" w:type="dxa"/>
            <w:vAlign w:val="center"/>
          </w:tcPr>
          <w:p>
            <w:pPr>
              <w:pStyle w:val="26"/>
              <w:spacing w:line="440" w:lineRule="exact"/>
              <w:ind w:left="420" w:firstLine="200"/>
              <w:jc w:val="center"/>
              <w:rPr>
                <w:sz w:val="20"/>
              </w:rPr>
            </w:pPr>
          </w:p>
        </w:tc>
        <w:tc>
          <w:tcPr>
            <w:tcW w:w="860" w:type="dxa"/>
            <w:vAlign w:val="center"/>
          </w:tcPr>
          <w:p>
            <w:pPr>
              <w:pStyle w:val="26"/>
              <w:spacing w:before="173" w:line="440" w:lineRule="exact"/>
              <w:ind w:firstLine="210" w:firstLineChars="100"/>
              <w:jc w:val="center"/>
              <w:rPr>
                <w:sz w:val="21"/>
              </w:rPr>
            </w:pPr>
            <w:r>
              <w:rPr>
                <w:sz w:val="21"/>
              </w:rPr>
              <w:t>性别</w:t>
            </w:r>
          </w:p>
        </w:tc>
        <w:tc>
          <w:tcPr>
            <w:tcW w:w="1266" w:type="dxa"/>
            <w:tcBorders>
              <w:right w:val="single" w:color="auto" w:sz="4" w:space="0"/>
            </w:tcBorders>
            <w:vAlign w:val="center"/>
          </w:tcPr>
          <w:p>
            <w:pPr>
              <w:pStyle w:val="26"/>
              <w:spacing w:before="173" w:line="440" w:lineRule="exact"/>
              <w:ind w:left="420"/>
              <w:jc w:val="center"/>
              <w:rPr>
                <w:sz w:val="21"/>
              </w:rPr>
            </w:pPr>
          </w:p>
        </w:tc>
        <w:tc>
          <w:tcPr>
            <w:tcW w:w="1840" w:type="dxa"/>
            <w:tcBorders>
              <w:left w:val="single" w:color="auto" w:sz="4" w:space="0"/>
            </w:tcBorders>
            <w:vAlign w:val="center"/>
          </w:tcPr>
          <w:p>
            <w:pPr>
              <w:pStyle w:val="26"/>
              <w:spacing w:before="173" w:line="440" w:lineRule="exact"/>
              <w:ind w:left="420" w:right="210"/>
              <w:jc w:val="center"/>
              <w:rPr>
                <w:sz w:val="21"/>
              </w:rPr>
            </w:pPr>
            <w:r>
              <w:rPr>
                <w:sz w:val="21"/>
              </w:rPr>
              <w:t>年龄</w:t>
            </w:r>
          </w:p>
        </w:tc>
        <w:tc>
          <w:tcPr>
            <w:tcW w:w="2731" w:type="dxa"/>
            <w:vAlign w:val="center"/>
          </w:tcPr>
          <w:p>
            <w:pPr>
              <w:pStyle w:val="26"/>
              <w:spacing w:line="440" w:lineRule="exact"/>
              <w:ind w:left="420"/>
              <w:jc w:val="center"/>
              <w:rPr>
                <w:sz w:val="2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623" w:hRule="atLeast"/>
        </w:trPr>
        <w:tc>
          <w:tcPr>
            <w:tcW w:w="1103" w:type="dxa"/>
            <w:vAlign w:val="center"/>
          </w:tcPr>
          <w:p>
            <w:pPr>
              <w:pStyle w:val="26"/>
              <w:spacing w:before="173" w:line="440" w:lineRule="exact"/>
              <w:ind w:left="420" w:right="188"/>
              <w:jc w:val="center"/>
              <w:rPr>
                <w:sz w:val="21"/>
              </w:rPr>
            </w:pPr>
            <w:r>
              <w:rPr>
                <w:rFonts w:hint="eastAsia"/>
                <w:sz w:val="21"/>
              </w:rPr>
              <w:t>专业</w:t>
            </w:r>
          </w:p>
        </w:tc>
        <w:tc>
          <w:tcPr>
            <w:tcW w:w="882" w:type="dxa"/>
            <w:vAlign w:val="center"/>
          </w:tcPr>
          <w:p>
            <w:pPr>
              <w:pStyle w:val="26"/>
              <w:spacing w:line="440" w:lineRule="exact"/>
              <w:ind w:left="420" w:firstLine="200"/>
              <w:jc w:val="center"/>
              <w:rPr>
                <w:sz w:val="20"/>
              </w:rPr>
            </w:pPr>
          </w:p>
        </w:tc>
        <w:tc>
          <w:tcPr>
            <w:tcW w:w="860" w:type="dxa"/>
            <w:vAlign w:val="center"/>
          </w:tcPr>
          <w:p>
            <w:pPr>
              <w:pStyle w:val="26"/>
              <w:spacing w:before="173" w:line="440" w:lineRule="exact"/>
              <w:ind w:firstLine="210" w:firstLineChars="100"/>
              <w:jc w:val="center"/>
              <w:rPr>
                <w:sz w:val="21"/>
              </w:rPr>
            </w:pPr>
            <w:r>
              <w:rPr>
                <w:rFonts w:hint="eastAsia"/>
                <w:sz w:val="21"/>
              </w:rPr>
              <w:t>职称</w:t>
            </w:r>
          </w:p>
        </w:tc>
        <w:tc>
          <w:tcPr>
            <w:tcW w:w="1266" w:type="dxa"/>
            <w:tcBorders>
              <w:right w:val="single" w:color="auto" w:sz="4" w:space="0"/>
            </w:tcBorders>
            <w:vAlign w:val="center"/>
          </w:tcPr>
          <w:p>
            <w:pPr>
              <w:pStyle w:val="26"/>
              <w:spacing w:before="173" w:line="440" w:lineRule="exact"/>
              <w:ind w:left="420"/>
              <w:jc w:val="center"/>
              <w:rPr>
                <w:sz w:val="21"/>
              </w:rPr>
            </w:pPr>
          </w:p>
        </w:tc>
        <w:tc>
          <w:tcPr>
            <w:tcW w:w="1840" w:type="dxa"/>
            <w:tcBorders>
              <w:left w:val="single" w:color="auto" w:sz="4" w:space="0"/>
            </w:tcBorders>
            <w:vAlign w:val="center"/>
          </w:tcPr>
          <w:p>
            <w:pPr>
              <w:pStyle w:val="26"/>
              <w:spacing w:before="173" w:line="440" w:lineRule="exact"/>
              <w:ind w:left="420" w:right="210"/>
              <w:jc w:val="center"/>
              <w:rPr>
                <w:sz w:val="21"/>
              </w:rPr>
            </w:pPr>
            <w:r>
              <w:rPr>
                <w:rFonts w:hint="eastAsia"/>
                <w:sz w:val="21"/>
              </w:rPr>
              <w:t>学历</w:t>
            </w:r>
          </w:p>
        </w:tc>
        <w:tc>
          <w:tcPr>
            <w:tcW w:w="2731" w:type="dxa"/>
            <w:vAlign w:val="center"/>
          </w:tcPr>
          <w:p>
            <w:pPr>
              <w:pStyle w:val="26"/>
              <w:spacing w:line="440" w:lineRule="exact"/>
              <w:ind w:left="420"/>
              <w:jc w:val="center"/>
              <w:rPr>
                <w:sz w:val="2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623" w:hRule="atLeast"/>
        </w:trPr>
        <w:tc>
          <w:tcPr>
            <w:tcW w:w="1985" w:type="dxa"/>
            <w:gridSpan w:val="2"/>
            <w:tcBorders>
              <w:right w:val="single" w:color="auto" w:sz="4" w:space="0"/>
            </w:tcBorders>
            <w:vAlign w:val="center"/>
          </w:tcPr>
          <w:p>
            <w:pPr>
              <w:pStyle w:val="26"/>
              <w:spacing w:before="173" w:line="440" w:lineRule="exact"/>
              <w:jc w:val="center"/>
              <w:rPr>
                <w:sz w:val="21"/>
              </w:rPr>
            </w:pPr>
            <w:r>
              <w:rPr>
                <w:sz w:val="21"/>
              </w:rPr>
              <w:t>从事</w:t>
            </w:r>
            <w:r>
              <w:rPr>
                <w:rFonts w:hint="eastAsia"/>
                <w:sz w:val="21"/>
              </w:rPr>
              <w:t>技术负责人</w:t>
            </w:r>
            <w:r>
              <w:rPr>
                <w:sz w:val="21"/>
              </w:rPr>
              <w:t>年限</w:t>
            </w:r>
          </w:p>
        </w:tc>
        <w:tc>
          <w:tcPr>
            <w:tcW w:w="2126" w:type="dxa"/>
            <w:gridSpan w:val="2"/>
            <w:tcBorders>
              <w:left w:val="single" w:color="auto" w:sz="4" w:space="0"/>
              <w:right w:val="single" w:color="auto" w:sz="4" w:space="0"/>
            </w:tcBorders>
            <w:vAlign w:val="center"/>
          </w:tcPr>
          <w:p>
            <w:pPr>
              <w:pStyle w:val="26"/>
              <w:spacing w:before="173" w:line="440" w:lineRule="exact"/>
              <w:ind w:left="420"/>
              <w:jc w:val="center"/>
              <w:rPr>
                <w:sz w:val="21"/>
              </w:rPr>
            </w:pPr>
          </w:p>
        </w:tc>
        <w:tc>
          <w:tcPr>
            <w:tcW w:w="1840" w:type="dxa"/>
            <w:tcBorders>
              <w:left w:val="single" w:color="auto" w:sz="4" w:space="0"/>
            </w:tcBorders>
            <w:vAlign w:val="center"/>
          </w:tcPr>
          <w:p>
            <w:pPr>
              <w:pStyle w:val="26"/>
              <w:spacing w:before="173" w:line="440" w:lineRule="exact"/>
              <w:ind w:left="420"/>
              <w:jc w:val="center"/>
              <w:rPr>
                <w:sz w:val="21"/>
              </w:rPr>
            </w:pPr>
            <w:r>
              <w:rPr>
                <w:sz w:val="21"/>
              </w:rPr>
              <w:t>到位率承诺</w:t>
            </w:r>
          </w:p>
        </w:tc>
        <w:tc>
          <w:tcPr>
            <w:tcW w:w="2731" w:type="dxa"/>
            <w:vAlign w:val="center"/>
          </w:tcPr>
          <w:p>
            <w:pPr>
              <w:pStyle w:val="26"/>
              <w:spacing w:line="440" w:lineRule="exact"/>
              <w:ind w:left="420" w:firstLine="200"/>
              <w:jc w:val="center"/>
              <w:rPr>
                <w:sz w:val="2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7208" w:hRule="atLeast"/>
        </w:trPr>
        <w:tc>
          <w:tcPr>
            <w:tcW w:w="1103" w:type="dxa"/>
            <w:vAlign w:val="top"/>
          </w:tcPr>
          <w:p>
            <w:pPr>
              <w:pStyle w:val="26"/>
              <w:spacing w:line="440" w:lineRule="exact"/>
              <w:ind w:left="420" w:firstLine="200"/>
              <w:rPr>
                <w:rFonts w:hint="eastAsia" w:ascii="ˎ̥" w:hAnsi="ˎ̥"/>
                <w:sz w:val="24"/>
              </w:rPr>
            </w:pPr>
          </w:p>
          <w:p>
            <w:pPr>
              <w:pStyle w:val="26"/>
              <w:spacing w:line="440" w:lineRule="exact"/>
              <w:ind w:left="420" w:firstLine="200"/>
              <w:rPr>
                <w:rFonts w:hint="eastAsia" w:ascii="ˎ̥" w:hAnsi="ˎ̥"/>
                <w:sz w:val="24"/>
              </w:rPr>
            </w:pPr>
          </w:p>
          <w:p>
            <w:pPr>
              <w:pStyle w:val="26"/>
              <w:spacing w:line="440" w:lineRule="exact"/>
              <w:ind w:left="420" w:firstLine="200"/>
              <w:rPr>
                <w:rFonts w:hint="eastAsia" w:ascii="ˎ̥" w:hAnsi="ˎ̥"/>
                <w:sz w:val="24"/>
              </w:rPr>
            </w:pPr>
          </w:p>
          <w:p>
            <w:pPr>
              <w:pStyle w:val="26"/>
              <w:spacing w:line="440" w:lineRule="exact"/>
              <w:ind w:left="420" w:firstLine="200"/>
              <w:rPr>
                <w:rFonts w:hint="eastAsia" w:ascii="ˎ̥" w:hAnsi="ˎ̥"/>
                <w:sz w:val="24"/>
              </w:rPr>
            </w:pPr>
          </w:p>
          <w:p>
            <w:pPr>
              <w:pStyle w:val="26"/>
              <w:spacing w:before="7" w:line="440" w:lineRule="exact"/>
              <w:rPr>
                <w:rFonts w:hint="eastAsia" w:ascii="ˎ̥" w:hAnsi="ˎ̥"/>
                <w:sz w:val="24"/>
              </w:rPr>
            </w:pPr>
          </w:p>
          <w:p>
            <w:pPr>
              <w:pStyle w:val="26"/>
              <w:spacing w:before="7" w:line="440" w:lineRule="exact"/>
              <w:rPr>
                <w:rFonts w:hint="eastAsia" w:ascii="ˎ̥" w:hAnsi="ˎ̥"/>
                <w:sz w:val="24"/>
              </w:rPr>
            </w:pPr>
          </w:p>
          <w:p>
            <w:pPr>
              <w:pStyle w:val="26"/>
              <w:spacing w:before="7" w:line="440" w:lineRule="exact"/>
              <w:rPr>
                <w:rFonts w:hint="eastAsia" w:ascii="ˎ̥" w:hAnsi="ˎ̥"/>
                <w:sz w:val="24"/>
              </w:rPr>
            </w:pPr>
          </w:p>
          <w:p>
            <w:pPr>
              <w:pStyle w:val="26"/>
              <w:spacing w:before="7" w:line="440" w:lineRule="exact"/>
              <w:rPr>
                <w:rFonts w:hint="eastAsia" w:ascii="ˎ̥" w:hAnsi="ˎ̥"/>
                <w:sz w:val="24"/>
              </w:rPr>
            </w:pPr>
          </w:p>
          <w:p>
            <w:pPr>
              <w:pStyle w:val="26"/>
              <w:spacing w:before="7" w:line="440" w:lineRule="exact"/>
              <w:rPr>
                <w:rFonts w:hint="eastAsia" w:ascii="ˎ̥" w:hAnsi="ˎ̥"/>
                <w:sz w:val="24"/>
              </w:rPr>
            </w:pPr>
          </w:p>
          <w:p>
            <w:pPr>
              <w:pStyle w:val="26"/>
              <w:spacing w:line="440" w:lineRule="exact"/>
              <w:ind w:left="420" w:firstLine="207"/>
              <w:rPr>
                <w:rFonts w:hint="eastAsia" w:ascii="ˎ̥" w:hAnsi="ˎ̥"/>
                <w:sz w:val="24"/>
              </w:rPr>
            </w:pPr>
            <w:r>
              <w:rPr>
                <w:rFonts w:hint="eastAsia" w:ascii="ˎ̥" w:hAnsi="ˎ̥"/>
                <w:sz w:val="24"/>
              </w:rPr>
              <w:t>简</w:t>
            </w:r>
          </w:p>
          <w:p>
            <w:pPr>
              <w:pStyle w:val="26"/>
              <w:spacing w:line="440" w:lineRule="exact"/>
              <w:ind w:left="420" w:firstLine="207"/>
              <w:rPr>
                <w:rFonts w:hint="eastAsia" w:ascii="ˎ̥" w:hAnsi="ˎ̥"/>
                <w:sz w:val="24"/>
              </w:rPr>
            </w:pPr>
            <w:r>
              <w:rPr>
                <w:rFonts w:hint="eastAsia" w:ascii="ˎ̥" w:hAnsi="ˎ̥"/>
                <w:sz w:val="24"/>
              </w:rPr>
              <w:t>历</w:t>
            </w:r>
          </w:p>
        </w:tc>
        <w:tc>
          <w:tcPr>
            <w:tcW w:w="7579" w:type="dxa"/>
            <w:gridSpan w:val="5"/>
            <w:vAlign w:val="top"/>
          </w:tcPr>
          <w:p>
            <w:pPr>
              <w:pStyle w:val="26"/>
              <w:spacing w:line="440" w:lineRule="exact"/>
              <w:ind w:left="420" w:firstLine="200"/>
              <w:jc w:val="both"/>
              <w:rPr>
                <w:rFonts w:hint="eastAsia" w:ascii="ˎ̥" w:hAnsi="ˎ̥"/>
                <w:sz w:val="24"/>
              </w:rPr>
            </w:pPr>
            <w:r>
              <w:rPr>
                <w:rFonts w:hint="eastAsia" w:ascii="ˎ̥" w:hAnsi="ˎ̥"/>
                <w:sz w:val="24"/>
              </w:rPr>
              <w:t>资历、项目经验、获奖、业绩等信息</w:t>
            </w:r>
          </w:p>
        </w:tc>
      </w:tr>
    </w:tbl>
    <w:p>
      <w:pPr>
        <w:spacing w:line="440" w:lineRule="exact"/>
        <w:rPr>
          <w:rFonts w:ascii="宋体" w:hAnsi="宋体"/>
        </w:rPr>
      </w:pPr>
    </w:p>
    <w:p>
      <w:pPr>
        <w:spacing w:line="440" w:lineRule="exact"/>
        <w:rPr>
          <w:rFonts w:ascii="宋体" w:hAnsi="宋体"/>
          <w:b/>
        </w:rPr>
      </w:pPr>
      <w:r>
        <w:rPr>
          <w:rFonts w:ascii="宋体" w:hAnsi="宋体"/>
          <w:b/>
        </w:rPr>
        <w:t>注</w:t>
      </w:r>
      <w:r>
        <w:rPr>
          <w:rFonts w:hint="eastAsia" w:ascii="宋体" w:hAnsi="宋体"/>
          <w:b/>
        </w:rPr>
        <w:t>：</w:t>
      </w:r>
      <w:r>
        <w:rPr>
          <w:rFonts w:ascii="宋体" w:hAnsi="宋体"/>
          <w:b/>
        </w:rPr>
        <w:t>1、</w:t>
      </w:r>
      <w:r>
        <w:rPr>
          <w:rFonts w:hint="eastAsia" w:ascii="宋体" w:hAnsi="宋体"/>
          <w:b/>
        </w:rPr>
        <w:t>需提供相关学历证书、职业资格证书、职称证书、社保证明；</w:t>
      </w:r>
    </w:p>
    <w:p>
      <w:pPr>
        <w:spacing w:line="440" w:lineRule="exact"/>
        <w:ind w:firstLine="422" w:firstLineChars="200"/>
        <w:rPr>
          <w:rFonts w:ascii="宋体" w:hAnsi="宋体"/>
          <w:b/>
        </w:rPr>
      </w:pPr>
      <w:r>
        <w:rPr>
          <w:rFonts w:hint="eastAsia" w:ascii="宋体" w:hAnsi="宋体"/>
          <w:b/>
        </w:rPr>
        <w:t>2、已完工项目业主方评价（如有）。</w:t>
      </w:r>
    </w:p>
    <w:p>
      <w:pPr>
        <w:spacing w:line="440" w:lineRule="exact"/>
        <w:rPr>
          <w:rFonts w:ascii="宋体" w:hAnsi="宋体"/>
        </w:rPr>
      </w:pPr>
    </w:p>
    <w:p>
      <w:pPr>
        <w:spacing w:before="21" w:line="440" w:lineRule="exact"/>
        <w:ind w:left="427"/>
        <w:rPr>
          <w:rFonts w:ascii="宋体" w:hAnsi="宋体"/>
        </w:rPr>
      </w:pPr>
      <w:r>
        <w:rPr>
          <w:rFonts w:ascii="宋体" w:hAnsi="宋体"/>
        </w:rPr>
        <w:t>投标</w:t>
      </w:r>
      <w:r>
        <w:rPr>
          <w:rFonts w:hint="eastAsia" w:ascii="宋体" w:hAnsi="宋体"/>
        </w:rPr>
        <w:t>方</w:t>
      </w:r>
      <w:r>
        <w:rPr>
          <w:rFonts w:ascii="宋体" w:hAnsi="宋体"/>
        </w:rPr>
        <w:t>（盖单位公章）：法定代表人或委托代理人（签字或盖章）：</w:t>
      </w:r>
    </w:p>
    <w:p>
      <w:pPr>
        <w:widowControl/>
        <w:spacing w:line="440" w:lineRule="exact"/>
        <w:jc w:val="left"/>
        <w:rPr>
          <w:rFonts w:ascii="宋体" w:hAnsi="宋体" w:eastAsia="宋体"/>
          <w:sz w:val="24"/>
        </w:rPr>
      </w:pPr>
      <w:r>
        <w:rPr>
          <w:rFonts w:ascii="宋体" w:hAnsi="宋体" w:eastAsia="宋体"/>
          <w:sz w:val="24"/>
        </w:rPr>
        <w:br w:type="page"/>
      </w:r>
    </w:p>
    <w:p>
      <w:pPr>
        <w:pStyle w:val="22"/>
        <w:numPr>
          <w:ilvl w:val="0"/>
          <w:numId w:val="4"/>
        </w:numPr>
        <w:autoSpaceDE w:val="0"/>
        <w:autoSpaceDN w:val="0"/>
        <w:adjustRightInd w:val="0"/>
        <w:snapToGrid w:val="0"/>
        <w:spacing w:line="440" w:lineRule="exact"/>
        <w:ind w:firstLineChars="0"/>
        <w:jc w:val="left"/>
        <w:outlineLvl w:val="0"/>
        <w:rPr>
          <w:rFonts w:ascii="宋体" w:hAnsi="宋体" w:eastAsia="宋体"/>
          <w:b/>
          <w:sz w:val="24"/>
        </w:rPr>
      </w:pPr>
      <w:r>
        <w:rPr>
          <w:rFonts w:hint="eastAsia" w:ascii="宋体" w:hAnsi="宋体" w:eastAsia="宋体"/>
          <w:b/>
          <w:sz w:val="24"/>
        </w:rPr>
        <w:t>附表4：本工程拟派主要施工管理</w:t>
      </w:r>
      <w:r>
        <w:rPr>
          <w:rFonts w:ascii="宋体" w:hAnsi="宋体" w:eastAsia="宋体"/>
          <w:b/>
          <w:sz w:val="24"/>
        </w:rPr>
        <w:t>人员表</w:t>
      </w:r>
    </w:p>
    <w:tbl>
      <w:tblPr>
        <w:tblW w:w="8021" w:type="dxa"/>
        <w:tblInd w:w="0" w:type="dxa"/>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
      <w:tblGrid>
        <w:gridCol w:w="1604"/>
        <w:gridCol w:w="1204"/>
        <w:gridCol w:w="1313"/>
        <w:gridCol w:w="1129"/>
        <w:gridCol w:w="1167"/>
        <w:gridCol w:w="1604"/>
      </w:tblGrid>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566" w:hRule="atLeast"/>
        </w:trPr>
        <w:tc>
          <w:tcPr>
            <w:tcW w:w="1604" w:type="dxa"/>
            <w:vAlign w:val="top"/>
          </w:tcPr>
          <w:p>
            <w:pPr>
              <w:pStyle w:val="26"/>
              <w:spacing w:before="166" w:line="440" w:lineRule="exact"/>
              <w:ind w:left="420"/>
              <w:jc w:val="center"/>
              <w:rPr>
                <w:sz w:val="21"/>
              </w:rPr>
            </w:pPr>
            <w:r>
              <w:rPr>
                <w:sz w:val="21"/>
              </w:rPr>
              <w:t>姓名</w:t>
            </w:r>
          </w:p>
        </w:tc>
        <w:tc>
          <w:tcPr>
            <w:tcW w:w="1204" w:type="dxa"/>
            <w:vAlign w:val="top"/>
          </w:tcPr>
          <w:p>
            <w:pPr>
              <w:pStyle w:val="26"/>
              <w:spacing w:before="166" w:line="440" w:lineRule="exact"/>
              <w:ind w:left="420"/>
              <w:rPr>
                <w:sz w:val="21"/>
              </w:rPr>
            </w:pPr>
            <w:r>
              <w:rPr>
                <w:sz w:val="21"/>
              </w:rPr>
              <w:t>性别</w:t>
            </w:r>
          </w:p>
        </w:tc>
        <w:tc>
          <w:tcPr>
            <w:tcW w:w="1313" w:type="dxa"/>
            <w:vAlign w:val="top"/>
          </w:tcPr>
          <w:p>
            <w:pPr>
              <w:pStyle w:val="26"/>
              <w:spacing w:before="166" w:line="440" w:lineRule="exact"/>
              <w:ind w:left="420"/>
              <w:jc w:val="center"/>
              <w:rPr>
                <w:sz w:val="21"/>
              </w:rPr>
            </w:pPr>
            <w:r>
              <w:rPr>
                <w:sz w:val="21"/>
              </w:rPr>
              <w:t>年龄</w:t>
            </w:r>
          </w:p>
        </w:tc>
        <w:tc>
          <w:tcPr>
            <w:tcW w:w="1129" w:type="dxa"/>
            <w:tcBorders>
              <w:right w:val="single" w:color="000000" w:sz="2" w:space="0"/>
            </w:tcBorders>
            <w:vAlign w:val="top"/>
          </w:tcPr>
          <w:p>
            <w:pPr>
              <w:pStyle w:val="26"/>
              <w:spacing w:before="166" w:line="440" w:lineRule="exact"/>
              <w:ind w:left="420"/>
              <w:jc w:val="center"/>
              <w:rPr>
                <w:sz w:val="21"/>
              </w:rPr>
            </w:pPr>
            <w:r>
              <w:rPr>
                <w:rFonts w:hint="eastAsia"/>
                <w:sz w:val="21"/>
              </w:rPr>
              <w:t>岗位</w:t>
            </w:r>
          </w:p>
        </w:tc>
        <w:tc>
          <w:tcPr>
            <w:tcW w:w="1167" w:type="dxa"/>
            <w:tcBorders>
              <w:left w:val="single" w:color="000000" w:sz="2" w:space="0"/>
            </w:tcBorders>
            <w:vAlign w:val="top"/>
          </w:tcPr>
          <w:p>
            <w:pPr>
              <w:pStyle w:val="26"/>
              <w:spacing w:before="166" w:line="440" w:lineRule="exact"/>
              <w:ind w:left="420"/>
              <w:jc w:val="center"/>
              <w:rPr>
                <w:sz w:val="21"/>
              </w:rPr>
            </w:pPr>
            <w:r>
              <w:rPr>
                <w:sz w:val="21"/>
              </w:rPr>
              <w:t>职称</w:t>
            </w:r>
          </w:p>
        </w:tc>
        <w:tc>
          <w:tcPr>
            <w:tcW w:w="1604" w:type="dxa"/>
            <w:vAlign w:val="top"/>
          </w:tcPr>
          <w:p>
            <w:pPr>
              <w:pStyle w:val="26"/>
              <w:spacing w:before="166" w:line="440" w:lineRule="exact"/>
              <w:ind w:left="420"/>
              <w:jc w:val="center"/>
              <w:rPr>
                <w:sz w:val="21"/>
              </w:rPr>
            </w:pPr>
            <w:r>
              <w:rPr>
                <w:sz w:val="21"/>
              </w:rPr>
              <w:t>备注</w:t>
            </w: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564" w:hRule="atLeast"/>
        </w:trPr>
        <w:tc>
          <w:tcPr>
            <w:tcW w:w="1604" w:type="dxa"/>
            <w:vAlign w:val="top"/>
          </w:tcPr>
          <w:p>
            <w:pPr>
              <w:pStyle w:val="26"/>
              <w:spacing w:line="440" w:lineRule="exact"/>
              <w:ind w:left="420" w:firstLine="200"/>
              <w:rPr>
                <w:sz w:val="20"/>
              </w:rPr>
            </w:pPr>
          </w:p>
        </w:tc>
        <w:tc>
          <w:tcPr>
            <w:tcW w:w="1204" w:type="dxa"/>
            <w:vAlign w:val="top"/>
          </w:tcPr>
          <w:p>
            <w:pPr>
              <w:pStyle w:val="26"/>
              <w:spacing w:line="440" w:lineRule="exact"/>
              <w:ind w:left="420" w:firstLine="200"/>
              <w:rPr>
                <w:sz w:val="20"/>
              </w:rPr>
            </w:pPr>
          </w:p>
        </w:tc>
        <w:tc>
          <w:tcPr>
            <w:tcW w:w="1313" w:type="dxa"/>
            <w:vAlign w:val="top"/>
          </w:tcPr>
          <w:p>
            <w:pPr>
              <w:pStyle w:val="26"/>
              <w:spacing w:line="440" w:lineRule="exact"/>
              <w:ind w:left="420" w:firstLine="200"/>
              <w:rPr>
                <w:sz w:val="20"/>
              </w:rPr>
            </w:pPr>
          </w:p>
        </w:tc>
        <w:tc>
          <w:tcPr>
            <w:tcW w:w="1129" w:type="dxa"/>
            <w:tcBorders>
              <w:right w:val="single" w:color="000000" w:sz="2" w:space="0"/>
            </w:tcBorders>
            <w:vAlign w:val="top"/>
          </w:tcPr>
          <w:p>
            <w:pPr>
              <w:pStyle w:val="26"/>
              <w:spacing w:line="440" w:lineRule="exact"/>
              <w:ind w:left="420" w:firstLine="200"/>
              <w:rPr>
                <w:sz w:val="20"/>
              </w:rPr>
            </w:pPr>
          </w:p>
        </w:tc>
        <w:tc>
          <w:tcPr>
            <w:tcW w:w="1167" w:type="dxa"/>
            <w:tcBorders>
              <w:left w:val="single" w:color="000000" w:sz="2" w:space="0"/>
            </w:tcBorders>
            <w:vAlign w:val="top"/>
          </w:tcPr>
          <w:p>
            <w:pPr>
              <w:pStyle w:val="26"/>
              <w:spacing w:line="440" w:lineRule="exact"/>
              <w:ind w:left="420" w:firstLine="200"/>
              <w:rPr>
                <w:sz w:val="20"/>
              </w:rPr>
            </w:pPr>
          </w:p>
        </w:tc>
        <w:tc>
          <w:tcPr>
            <w:tcW w:w="1604" w:type="dxa"/>
            <w:vAlign w:val="top"/>
          </w:tcPr>
          <w:p>
            <w:pPr>
              <w:pStyle w:val="26"/>
              <w:spacing w:line="440" w:lineRule="exact"/>
              <w:ind w:left="420" w:firstLine="200"/>
              <w:rPr>
                <w:sz w:val="2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566" w:hRule="atLeast"/>
        </w:trPr>
        <w:tc>
          <w:tcPr>
            <w:tcW w:w="1604" w:type="dxa"/>
            <w:vAlign w:val="top"/>
          </w:tcPr>
          <w:p>
            <w:pPr>
              <w:pStyle w:val="26"/>
              <w:spacing w:line="440" w:lineRule="exact"/>
              <w:ind w:left="420" w:firstLine="200"/>
              <w:rPr>
                <w:sz w:val="20"/>
              </w:rPr>
            </w:pPr>
          </w:p>
        </w:tc>
        <w:tc>
          <w:tcPr>
            <w:tcW w:w="1204" w:type="dxa"/>
            <w:vAlign w:val="top"/>
          </w:tcPr>
          <w:p>
            <w:pPr>
              <w:pStyle w:val="26"/>
              <w:spacing w:line="440" w:lineRule="exact"/>
              <w:ind w:left="420" w:firstLine="200"/>
              <w:rPr>
                <w:sz w:val="20"/>
              </w:rPr>
            </w:pPr>
          </w:p>
        </w:tc>
        <w:tc>
          <w:tcPr>
            <w:tcW w:w="1313" w:type="dxa"/>
            <w:vAlign w:val="top"/>
          </w:tcPr>
          <w:p>
            <w:pPr>
              <w:pStyle w:val="26"/>
              <w:spacing w:line="440" w:lineRule="exact"/>
              <w:ind w:left="420" w:firstLine="200"/>
              <w:rPr>
                <w:sz w:val="20"/>
              </w:rPr>
            </w:pPr>
          </w:p>
        </w:tc>
        <w:tc>
          <w:tcPr>
            <w:tcW w:w="1129" w:type="dxa"/>
            <w:tcBorders>
              <w:right w:val="single" w:color="000000" w:sz="2" w:space="0"/>
            </w:tcBorders>
            <w:vAlign w:val="top"/>
          </w:tcPr>
          <w:p>
            <w:pPr>
              <w:pStyle w:val="26"/>
              <w:spacing w:line="440" w:lineRule="exact"/>
              <w:ind w:left="420" w:firstLine="200"/>
              <w:rPr>
                <w:sz w:val="20"/>
              </w:rPr>
            </w:pPr>
          </w:p>
        </w:tc>
        <w:tc>
          <w:tcPr>
            <w:tcW w:w="1167" w:type="dxa"/>
            <w:tcBorders>
              <w:left w:val="single" w:color="000000" w:sz="2" w:space="0"/>
            </w:tcBorders>
            <w:vAlign w:val="top"/>
          </w:tcPr>
          <w:p>
            <w:pPr>
              <w:pStyle w:val="26"/>
              <w:spacing w:line="440" w:lineRule="exact"/>
              <w:ind w:left="420" w:firstLine="200"/>
              <w:rPr>
                <w:sz w:val="20"/>
              </w:rPr>
            </w:pPr>
          </w:p>
        </w:tc>
        <w:tc>
          <w:tcPr>
            <w:tcW w:w="1604" w:type="dxa"/>
            <w:vAlign w:val="top"/>
          </w:tcPr>
          <w:p>
            <w:pPr>
              <w:pStyle w:val="26"/>
              <w:spacing w:line="440" w:lineRule="exact"/>
              <w:ind w:left="420" w:firstLine="200"/>
              <w:rPr>
                <w:sz w:val="2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566" w:hRule="atLeast"/>
        </w:trPr>
        <w:tc>
          <w:tcPr>
            <w:tcW w:w="1604" w:type="dxa"/>
            <w:vAlign w:val="top"/>
          </w:tcPr>
          <w:p>
            <w:pPr>
              <w:pStyle w:val="26"/>
              <w:spacing w:line="440" w:lineRule="exact"/>
              <w:ind w:left="420" w:firstLine="200"/>
              <w:rPr>
                <w:sz w:val="20"/>
              </w:rPr>
            </w:pPr>
          </w:p>
        </w:tc>
        <w:tc>
          <w:tcPr>
            <w:tcW w:w="1204" w:type="dxa"/>
            <w:vAlign w:val="top"/>
          </w:tcPr>
          <w:p>
            <w:pPr>
              <w:pStyle w:val="26"/>
              <w:spacing w:line="440" w:lineRule="exact"/>
              <w:ind w:left="420" w:firstLine="200"/>
              <w:rPr>
                <w:sz w:val="20"/>
              </w:rPr>
            </w:pPr>
          </w:p>
        </w:tc>
        <w:tc>
          <w:tcPr>
            <w:tcW w:w="1313" w:type="dxa"/>
            <w:vAlign w:val="top"/>
          </w:tcPr>
          <w:p>
            <w:pPr>
              <w:pStyle w:val="26"/>
              <w:spacing w:line="440" w:lineRule="exact"/>
              <w:ind w:left="420" w:firstLine="200"/>
              <w:rPr>
                <w:sz w:val="20"/>
              </w:rPr>
            </w:pPr>
          </w:p>
        </w:tc>
        <w:tc>
          <w:tcPr>
            <w:tcW w:w="1129" w:type="dxa"/>
            <w:tcBorders>
              <w:right w:val="single" w:color="000000" w:sz="2" w:space="0"/>
            </w:tcBorders>
            <w:vAlign w:val="top"/>
          </w:tcPr>
          <w:p>
            <w:pPr>
              <w:pStyle w:val="26"/>
              <w:spacing w:line="440" w:lineRule="exact"/>
              <w:ind w:left="420" w:firstLine="200"/>
              <w:rPr>
                <w:sz w:val="20"/>
              </w:rPr>
            </w:pPr>
          </w:p>
        </w:tc>
        <w:tc>
          <w:tcPr>
            <w:tcW w:w="1167" w:type="dxa"/>
            <w:tcBorders>
              <w:left w:val="single" w:color="000000" w:sz="2" w:space="0"/>
            </w:tcBorders>
            <w:vAlign w:val="top"/>
          </w:tcPr>
          <w:p>
            <w:pPr>
              <w:pStyle w:val="26"/>
              <w:spacing w:line="440" w:lineRule="exact"/>
              <w:ind w:left="420" w:firstLine="200"/>
              <w:rPr>
                <w:sz w:val="20"/>
              </w:rPr>
            </w:pPr>
          </w:p>
        </w:tc>
        <w:tc>
          <w:tcPr>
            <w:tcW w:w="1604" w:type="dxa"/>
            <w:vAlign w:val="top"/>
          </w:tcPr>
          <w:p>
            <w:pPr>
              <w:pStyle w:val="26"/>
              <w:spacing w:line="440" w:lineRule="exact"/>
              <w:ind w:left="420" w:firstLine="200"/>
              <w:rPr>
                <w:sz w:val="2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564" w:hRule="atLeast"/>
        </w:trPr>
        <w:tc>
          <w:tcPr>
            <w:tcW w:w="1604" w:type="dxa"/>
            <w:vAlign w:val="top"/>
          </w:tcPr>
          <w:p>
            <w:pPr>
              <w:pStyle w:val="26"/>
              <w:spacing w:line="440" w:lineRule="exact"/>
              <w:ind w:left="420" w:firstLine="200"/>
              <w:rPr>
                <w:sz w:val="20"/>
              </w:rPr>
            </w:pPr>
          </w:p>
        </w:tc>
        <w:tc>
          <w:tcPr>
            <w:tcW w:w="1204" w:type="dxa"/>
            <w:vAlign w:val="top"/>
          </w:tcPr>
          <w:p>
            <w:pPr>
              <w:pStyle w:val="26"/>
              <w:spacing w:line="440" w:lineRule="exact"/>
              <w:ind w:left="420" w:firstLine="200"/>
              <w:rPr>
                <w:sz w:val="20"/>
              </w:rPr>
            </w:pPr>
          </w:p>
        </w:tc>
        <w:tc>
          <w:tcPr>
            <w:tcW w:w="1313" w:type="dxa"/>
            <w:vAlign w:val="top"/>
          </w:tcPr>
          <w:p>
            <w:pPr>
              <w:pStyle w:val="26"/>
              <w:spacing w:line="440" w:lineRule="exact"/>
              <w:ind w:left="420" w:firstLine="200"/>
              <w:rPr>
                <w:sz w:val="20"/>
              </w:rPr>
            </w:pPr>
          </w:p>
        </w:tc>
        <w:tc>
          <w:tcPr>
            <w:tcW w:w="1129" w:type="dxa"/>
            <w:tcBorders>
              <w:right w:val="single" w:color="000000" w:sz="2" w:space="0"/>
            </w:tcBorders>
            <w:vAlign w:val="top"/>
          </w:tcPr>
          <w:p>
            <w:pPr>
              <w:pStyle w:val="26"/>
              <w:spacing w:line="440" w:lineRule="exact"/>
              <w:ind w:left="420" w:firstLine="200"/>
              <w:rPr>
                <w:sz w:val="20"/>
              </w:rPr>
            </w:pPr>
          </w:p>
        </w:tc>
        <w:tc>
          <w:tcPr>
            <w:tcW w:w="1167" w:type="dxa"/>
            <w:tcBorders>
              <w:left w:val="single" w:color="000000" w:sz="2" w:space="0"/>
            </w:tcBorders>
            <w:vAlign w:val="top"/>
          </w:tcPr>
          <w:p>
            <w:pPr>
              <w:pStyle w:val="26"/>
              <w:spacing w:line="440" w:lineRule="exact"/>
              <w:ind w:left="420" w:firstLine="200"/>
              <w:rPr>
                <w:sz w:val="20"/>
              </w:rPr>
            </w:pPr>
          </w:p>
        </w:tc>
        <w:tc>
          <w:tcPr>
            <w:tcW w:w="1604" w:type="dxa"/>
            <w:vAlign w:val="top"/>
          </w:tcPr>
          <w:p>
            <w:pPr>
              <w:pStyle w:val="26"/>
              <w:spacing w:line="440" w:lineRule="exact"/>
              <w:ind w:left="420" w:firstLine="200"/>
              <w:rPr>
                <w:sz w:val="2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565" w:hRule="atLeast"/>
        </w:trPr>
        <w:tc>
          <w:tcPr>
            <w:tcW w:w="1604" w:type="dxa"/>
            <w:vAlign w:val="top"/>
          </w:tcPr>
          <w:p>
            <w:pPr>
              <w:pStyle w:val="26"/>
              <w:spacing w:line="440" w:lineRule="exact"/>
              <w:ind w:left="420" w:firstLine="200"/>
              <w:rPr>
                <w:sz w:val="20"/>
              </w:rPr>
            </w:pPr>
          </w:p>
        </w:tc>
        <w:tc>
          <w:tcPr>
            <w:tcW w:w="1204" w:type="dxa"/>
            <w:vAlign w:val="top"/>
          </w:tcPr>
          <w:p>
            <w:pPr>
              <w:pStyle w:val="26"/>
              <w:spacing w:line="440" w:lineRule="exact"/>
              <w:ind w:left="420" w:firstLine="200"/>
              <w:rPr>
                <w:sz w:val="20"/>
              </w:rPr>
            </w:pPr>
          </w:p>
        </w:tc>
        <w:tc>
          <w:tcPr>
            <w:tcW w:w="1313" w:type="dxa"/>
            <w:vAlign w:val="top"/>
          </w:tcPr>
          <w:p>
            <w:pPr>
              <w:pStyle w:val="26"/>
              <w:spacing w:line="440" w:lineRule="exact"/>
              <w:ind w:left="420" w:firstLine="200"/>
              <w:rPr>
                <w:sz w:val="20"/>
              </w:rPr>
            </w:pPr>
          </w:p>
        </w:tc>
        <w:tc>
          <w:tcPr>
            <w:tcW w:w="1129" w:type="dxa"/>
            <w:tcBorders>
              <w:right w:val="single" w:color="000000" w:sz="2" w:space="0"/>
            </w:tcBorders>
            <w:vAlign w:val="top"/>
          </w:tcPr>
          <w:p>
            <w:pPr>
              <w:pStyle w:val="26"/>
              <w:spacing w:line="440" w:lineRule="exact"/>
              <w:ind w:left="420" w:firstLine="200"/>
              <w:rPr>
                <w:sz w:val="20"/>
              </w:rPr>
            </w:pPr>
          </w:p>
        </w:tc>
        <w:tc>
          <w:tcPr>
            <w:tcW w:w="1167" w:type="dxa"/>
            <w:tcBorders>
              <w:left w:val="single" w:color="000000" w:sz="2" w:space="0"/>
            </w:tcBorders>
            <w:vAlign w:val="top"/>
          </w:tcPr>
          <w:p>
            <w:pPr>
              <w:pStyle w:val="26"/>
              <w:spacing w:line="440" w:lineRule="exact"/>
              <w:ind w:left="420" w:firstLine="200"/>
              <w:rPr>
                <w:sz w:val="20"/>
              </w:rPr>
            </w:pPr>
          </w:p>
        </w:tc>
        <w:tc>
          <w:tcPr>
            <w:tcW w:w="1604" w:type="dxa"/>
            <w:vAlign w:val="top"/>
          </w:tcPr>
          <w:p>
            <w:pPr>
              <w:pStyle w:val="26"/>
              <w:spacing w:line="440" w:lineRule="exact"/>
              <w:ind w:left="420" w:firstLine="200"/>
              <w:rPr>
                <w:sz w:val="2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566" w:hRule="atLeast"/>
        </w:trPr>
        <w:tc>
          <w:tcPr>
            <w:tcW w:w="1604" w:type="dxa"/>
            <w:vAlign w:val="top"/>
          </w:tcPr>
          <w:p>
            <w:pPr>
              <w:pStyle w:val="26"/>
              <w:spacing w:line="440" w:lineRule="exact"/>
              <w:ind w:left="420" w:firstLine="200"/>
              <w:rPr>
                <w:sz w:val="20"/>
              </w:rPr>
            </w:pPr>
          </w:p>
        </w:tc>
        <w:tc>
          <w:tcPr>
            <w:tcW w:w="1204" w:type="dxa"/>
            <w:vAlign w:val="top"/>
          </w:tcPr>
          <w:p>
            <w:pPr>
              <w:pStyle w:val="26"/>
              <w:spacing w:line="440" w:lineRule="exact"/>
              <w:ind w:left="420" w:firstLine="200"/>
              <w:rPr>
                <w:sz w:val="20"/>
              </w:rPr>
            </w:pPr>
          </w:p>
        </w:tc>
        <w:tc>
          <w:tcPr>
            <w:tcW w:w="1313" w:type="dxa"/>
            <w:vAlign w:val="top"/>
          </w:tcPr>
          <w:p>
            <w:pPr>
              <w:pStyle w:val="26"/>
              <w:spacing w:line="440" w:lineRule="exact"/>
              <w:ind w:left="420" w:firstLine="200"/>
              <w:rPr>
                <w:sz w:val="20"/>
              </w:rPr>
            </w:pPr>
          </w:p>
        </w:tc>
        <w:tc>
          <w:tcPr>
            <w:tcW w:w="1129" w:type="dxa"/>
            <w:tcBorders>
              <w:right w:val="single" w:color="000000" w:sz="2" w:space="0"/>
            </w:tcBorders>
            <w:vAlign w:val="top"/>
          </w:tcPr>
          <w:p>
            <w:pPr>
              <w:pStyle w:val="26"/>
              <w:spacing w:line="440" w:lineRule="exact"/>
              <w:ind w:left="420" w:firstLine="200"/>
              <w:rPr>
                <w:sz w:val="20"/>
              </w:rPr>
            </w:pPr>
          </w:p>
        </w:tc>
        <w:tc>
          <w:tcPr>
            <w:tcW w:w="1167" w:type="dxa"/>
            <w:tcBorders>
              <w:left w:val="single" w:color="000000" w:sz="2" w:space="0"/>
            </w:tcBorders>
            <w:vAlign w:val="top"/>
          </w:tcPr>
          <w:p>
            <w:pPr>
              <w:pStyle w:val="26"/>
              <w:spacing w:line="440" w:lineRule="exact"/>
              <w:ind w:left="420" w:firstLine="200"/>
              <w:rPr>
                <w:sz w:val="20"/>
              </w:rPr>
            </w:pPr>
          </w:p>
        </w:tc>
        <w:tc>
          <w:tcPr>
            <w:tcW w:w="1604" w:type="dxa"/>
            <w:vAlign w:val="top"/>
          </w:tcPr>
          <w:p>
            <w:pPr>
              <w:pStyle w:val="26"/>
              <w:spacing w:line="440" w:lineRule="exact"/>
              <w:ind w:left="420" w:firstLine="200"/>
              <w:rPr>
                <w:sz w:val="2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563" w:hRule="atLeast"/>
        </w:trPr>
        <w:tc>
          <w:tcPr>
            <w:tcW w:w="1604" w:type="dxa"/>
            <w:vAlign w:val="top"/>
          </w:tcPr>
          <w:p>
            <w:pPr>
              <w:pStyle w:val="26"/>
              <w:spacing w:line="440" w:lineRule="exact"/>
              <w:ind w:left="420" w:firstLine="200"/>
              <w:rPr>
                <w:sz w:val="20"/>
              </w:rPr>
            </w:pPr>
          </w:p>
        </w:tc>
        <w:tc>
          <w:tcPr>
            <w:tcW w:w="1204" w:type="dxa"/>
            <w:vAlign w:val="top"/>
          </w:tcPr>
          <w:p>
            <w:pPr>
              <w:pStyle w:val="26"/>
              <w:spacing w:line="440" w:lineRule="exact"/>
              <w:ind w:left="420" w:firstLine="200"/>
              <w:rPr>
                <w:sz w:val="20"/>
              </w:rPr>
            </w:pPr>
          </w:p>
        </w:tc>
        <w:tc>
          <w:tcPr>
            <w:tcW w:w="1313" w:type="dxa"/>
            <w:vAlign w:val="top"/>
          </w:tcPr>
          <w:p>
            <w:pPr>
              <w:pStyle w:val="26"/>
              <w:spacing w:line="440" w:lineRule="exact"/>
              <w:ind w:left="420" w:firstLine="200"/>
              <w:rPr>
                <w:sz w:val="20"/>
              </w:rPr>
            </w:pPr>
          </w:p>
        </w:tc>
        <w:tc>
          <w:tcPr>
            <w:tcW w:w="1129" w:type="dxa"/>
            <w:tcBorders>
              <w:right w:val="single" w:color="000000" w:sz="2" w:space="0"/>
            </w:tcBorders>
            <w:vAlign w:val="top"/>
          </w:tcPr>
          <w:p>
            <w:pPr>
              <w:pStyle w:val="26"/>
              <w:spacing w:line="440" w:lineRule="exact"/>
              <w:ind w:left="420" w:firstLine="200"/>
              <w:rPr>
                <w:sz w:val="20"/>
              </w:rPr>
            </w:pPr>
          </w:p>
        </w:tc>
        <w:tc>
          <w:tcPr>
            <w:tcW w:w="1167" w:type="dxa"/>
            <w:tcBorders>
              <w:left w:val="single" w:color="000000" w:sz="2" w:space="0"/>
            </w:tcBorders>
            <w:vAlign w:val="top"/>
          </w:tcPr>
          <w:p>
            <w:pPr>
              <w:pStyle w:val="26"/>
              <w:spacing w:line="440" w:lineRule="exact"/>
              <w:ind w:left="420" w:firstLine="200"/>
              <w:rPr>
                <w:sz w:val="20"/>
              </w:rPr>
            </w:pPr>
          </w:p>
        </w:tc>
        <w:tc>
          <w:tcPr>
            <w:tcW w:w="1604" w:type="dxa"/>
            <w:vAlign w:val="top"/>
          </w:tcPr>
          <w:p>
            <w:pPr>
              <w:pStyle w:val="26"/>
              <w:spacing w:line="440" w:lineRule="exact"/>
              <w:ind w:left="420" w:firstLine="200"/>
              <w:rPr>
                <w:sz w:val="2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565" w:hRule="atLeast"/>
        </w:trPr>
        <w:tc>
          <w:tcPr>
            <w:tcW w:w="1604" w:type="dxa"/>
            <w:vAlign w:val="top"/>
          </w:tcPr>
          <w:p>
            <w:pPr>
              <w:pStyle w:val="26"/>
              <w:spacing w:line="440" w:lineRule="exact"/>
              <w:ind w:left="420" w:firstLine="200"/>
              <w:rPr>
                <w:sz w:val="20"/>
              </w:rPr>
            </w:pPr>
          </w:p>
        </w:tc>
        <w:tc>
          <w:tcPr>
            <w:tcW w:w="1204" w:type="dxa"/>
            <w:vAlign w:val="top"/>
          </w:tcPr>
          <w:p>
            <w:pPr>
              <w:pStyle w:val="26"/>
              <w:spacing w:line="440" w:lineRule="exact"/>
              <w:ind w:left="420" w:firstLine="200"/>
              <w:rPr>
                <w:sz w:val="20"/>
              </w:rPr>
            </w:pPr>
          </w:p>
        </w:tc>
        <w:tc>
          <w:tcPr>
            <w:tcW w:w="1313" w:type="dxa"/>
            <w:vAlign w:val="top"/>
          </w:tcPr>
          <w:p>
            <w:pPr>
              <w:pStyle w:val="26"/>
              <w:spacing w:line="440" w:lineRule="exact"/>
              <w:ind w:left="420" w:firstLine="200"/>
              <w:rPr>
                <w:sz w:val="20"/>
              </w:rPr>
            </w:pPr>
          </w:p>
        </w:tc>
        <w:tc>
          <w:tcPr>
            <w:tcW w:w="1129" w:type="dxa"/>
            <w:tcBorders>
              <w:right w:val="single" w:color="000000" w:sz="2" w:space="0"/>
            </w:tcBorders>
            <w:vAlign w:val="top"/>
          </w:tcPr>
          <w:p>
            <w:pPr>
              <w:pStyle w:val="26"/>
              <w:spacing w:line="440" w:lineRule="exact"/>
              <w:ind w:left="420" w:firstLine="200"/>
              <w:rPr>
                <w:sz w:val="20"/>
              </w:rPr>
            </w:pPr>
          </w:p>
        </w:tc>
        <w:tc>
          <w:tcPr>
            <w:tcW w:w="1167" w:type="dxa"/>
            <w:tcBorders>
              <w:left w:val="single" w:color="000000" w:sz="2" w:space="0"/>
            </w:tcBorders>
            <w:vAlign w:val="top"/>
          </w:tcPr>
          <w:p>
            <w:pPr>
              <w:pStyle w:val="26"/>
              <w:spacing w:line="440" w:lineRule="exact"/>
              <w:ind w:left="420" w:firstLine="200"/>
              <w:rPr>
                <w:sz w:val="20"/>
              </w:rPr>
            </w:pPr>
          </w:p>
        </w:tc>
        <w:tc>
          <w:tcPr>
            <w:tcW w:w="1604" w:type="dxa"/>
            <w:vAlign w:val="top"/>
          </w:tcPr>
          <w:p>
            <w:pPr>
              <w:pStyle w:val="26"/>
              <w:spacing w:line="440" w:lineRule="exact"/>
              <w:ind w:left="420" w:firstLine="200"/>
              <w:rPr>
                <w:sz w:val="2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566" w:hRule="atLeast"/>
        </w:trPr>
        <w:tc>
          <w:tcPr>
            <w:tcW w:w="1604" w:type="dxa"/>
            <w:vAlign w:val="top"/>
          </w:tcPr>
          <w:p>
            <w:pPr>
              <w:pStyle w:val="26"/>
              <w:spacing w:line="440" w:lineRule="exact"/>
              <w:ind w:left="420" w:firstLine="200"/>
              <w:rPr>
                <w:sz w:val="20"/>
              </w:rPr>
            </w:pPr>
          </w:p>
        </w:tc>
        <w:tc>
          <w:tcPr>
            <w:tcW w:w="1204" w:type="dxa"/>
            <w:vAlign w:val="top"/>
          </w:tcPr>
          <w:p>
            <w:pPr>
              <w:pStyle w:val="26"/>
              <w:spacing w:line="440" w:lineRule="exact"/>
              <w:ind w:left="420" w:firstLine="200"/>
              <w:rPr>
                <w:sz w:val="20"/>
              </w:rPr>
            </w:pPr>
          </w:p>
        </w:tc>
        <w:tc>
          <w:tcPr>
            <w:tcW w:w="1313" w:type="dxa"/>
            <w:vAlign w:val="top"/>
          </w:tcPr>
          <w:p>
            <w:pPr>
              <w:pStyle w:val="26"/>
              <w:spacing w:line="440" w:lineRule="exact"/>
              <w:ind w:left="420" w:firstLine="200"/>
              <w:rPr>
                <w:sz w:val="20"/>
              </w:rPr>
            </w:pPr>
          </w:p>
        </w:tc>
        <w:tc>
          <w:tcPr>
            <w:tcW w:w="1129" w:type="dxa"/>
            <w:tcBorders>
              <w:right w:val="single" w:color="000000" w:sz="2" w:space="0"/>
            </w:tcBorders>
            <w:vAlign w:val="top"/>
          </w:tcPr>
          <w:p>
            <w:pPr>
              <w:pStyle w:val="26"/>
              <w:spacing w:line="440" w:lineRule="exact"/>
              <w:ind w:left="420" w:firstLine="200"/>
              <w:rPr>
                <w:sz w:val="20"/>
              </w:rPr>
            </w:pPr>
          </w:p>
        </w:tc>
        <w:tc>
          <w:tcPr>
            <w:tcW w:w="1167" w:type="dxa"/>
            <w:tcBorders>
              <w:left w:val="single" w:color="000000" w:sz="2" w:space="0"/>
            </w:tcBorders>
            <w:vAlign w:val="top"/>
          </w:tcPr>
          <w:p>
            <w:pPr>
              <w:pStyle w:val="26"/>
              <w:spacing w:line="440" w:lineRule="exact"/>
              <w:ind w:left="420" w:firstLine="200"/>
              <w:rPr>
                <w:sz w:val="20"/>
              </w:rPr>
            </w:pPr>
          </w:p>
        </w:tc>
        <w:tc>
          <w:tcPr>
            <w:tcW w:w="1604" w:type="dxa"/>
            <w:vAlign w:val="top"/>
          </w:tcPr>
          <w:p>
            <w:pPr>
              <w:pStyle w:val="26"/>
              <w:spacing w:line="440" w:lineRule="exact"/>
              <w:ind w:left="420" w:firstLine="200"/>
              <w:rPr>
                <w:sz w:val="2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564" w:hRule="atLeast"/>
        </w:trPr>
        <w:tc>
          <w:tcPr>
            <w:tcW w:w="1604" w:type="dxa"/>
            <w:vAlign w:val="top"/>
          </w:tcPr>
          <w:p>
            <w:pPr>
              <w:pStyle w:val="26"/>
              <w:spacing w:line="440" w:lineRule="exact"/>
              <w:ind w:left="420" w:firstLine="200"/>
              <w:rPr>
                <w:sz w:val="20"/>
              </w:rPr>
            </w:pPr>
          </w:p>
        </w:tc>
        <w:tc>
          <w:tcPr>
            <w:tcW w:w="1204" w:type="dxa"/>
            <w:vAlign w:val="top"/>
          </w:tcPr>
          <w:p>
            <w:pPr>
              <w:pStyle w:val="26"/>
              <w:spacing w:line="440" w:lineRule="exact"/>
              <w:ind w:left="420" w:firstLine="200"/>
              <w:rPr>
                <w:sz w:val="20"/>
              </w:rPr>
            </w:pPr>
          </w:p>
        </w:tc>
        <w:tc>
          <w:tcPr>
            <w:tcW w:w="1313" w:type="dxa"/>
            <w:vAlign w:val="top"/>
          </w:tcPr>
          <w:p>
            <w:pPr>
              <w:pStyle w:val="26"/>
              <w:spacing w:line="440" w:lineRule="exact"/>
              <w:ind w:left="420" w:firstLine="200"/>
              <w:rPr>
                <w:sz w:val="20"/>
              </w:rPr>
            </w:pPr>
          </w:p>
        </w:tc>
        <w:tc>
          <w:tcPr>
            <w:tcW w:w="1129" w:type="dxa"/>
            <w:tcBorders>
              <w:right w:val="single" w:color="000000" w:sz="2" w:space="0"/>
            </w:tcBorders>
            <w:vAlign w:val="top"/>
          </w:tcPr>
          <w:p>
            <w:pPr>
              <w:pStyle w:val="26"/>
              <w:spacing w:line="440" w:lineRule="exact"/>
              <w:ind w:left="420" w:firstLine="200"/>
              <w:rPr>
                <w:sz w:val="20"/>
              </w:rPr>
            </w:pPr>
          </w:p>
        </w:tc>
        <w:tc>
          <w:tcPr>
            <w:tcW w:w="1167" w:type="dxa"/>
            <w:tcBorders>
              <w:left w:val="single" w:color="000000" w:sz="2" w:space="0"/>
            </w:tcBorders>
            <w:vAlign w:val="top"/>
          </w:tcPr>
          <w:p>
            <w:pPr>
              <w:pStyle w:val="26"/>
              <w:spacing w:line="440" w:lineRule="exact"/>
              <w:ind w:left="420" w:firstLine="200"/>
              <w:rPr>
                <w:sz w:val="20"/>
              </w:rPr>
            </w:pPr>
          </w:p>
        </w:tc>
        <w:tc>
          <w:tcPr>
            <w:tcW w:w="1604" w:type="dxa"/>
            <w:vAlign w:val="top"/>
          </w:tcPr>
          <w:p>
            <w:pPr>
              <w:pStyle w:val="26"/>
              <w:spacing w:line="440" w:lineRule="exact"/>
              <w:ind w:left="420" w:firstLine="200"/>
              <w:rPr>
                <w:sz w:val="2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565" w:hRule="atLeast"/>
        </w:trPr>
        <w:tc>
          <w:tcPr>
            <w:tcW w:w="1604" w:type="dxa"/>
            <w:vAlign w:val="top"/>
          </w:tcPr>
          <w:p>
            <w:pPr>
              <w:pStyle w:val="26"/>
              <w:spacing w:line="440" w:lineRule="exact"/>
              <w:ind w:left="420" w:firstLine="200"/>
              <w:rPr>
                <w:sz w:val="20"/>
              </w:rPr>
            </w:pPr>
          </w:p>
        </w:tc>
        <w:tc>
          <w:tcPr>
            <w:tcW w:w="1204" w:type="dxa"/>
            <w:vAlign w:val="top"/>
          </w:tcPr>
          <w:p>
            <w:pPr>
              <w:pStyle w:val="26"/>
              <w:spacing w:line="440" w:lineRule="exact"/>
              <w:ind w:left="420" w:firstLine="200"/>
              <w:rPr>
                <w:sz w:val="20"/>
              </w:rPr>
            </w:pPr>
          </w:p>
        </w:tc>
        <w:tc>
          <w:tcPr>
            <w:tcW w:w="1313" w:type="dxa"/>
            <w:vAlign w:val="top"/>
          </w:tcPr>
          <w:p>
            <w:pPr>
              <w:pStyle w:val="26"/>
              <w:spacing w:line="440" w:lineRule="exact"/>
              <w:ind w:left="420" w:firstLine="200"/>
              <w:rPr>
                <w:sz w:val="20"/>
              </w:rPr>
            </w:pPr>
          </w:p>
        </w:tc>
        <w:tc>
          <w:tcPr>
            <w:tcW w:w="1129" w:type="dxa"/>
            <w:tcBorders>
              <w:right w:val="single" w:color="000000" w:sz="2" w:space="0"/>
            </w:tcBorders>
            <w:vAlign w:val="top"/>
          </w:tcPr>
          <w:p>
            <w:pPr>
              <w:pStyle w:val="26"/>
              <w:spacing w:line="440" w:lineRule="exact"/>
              <w:ind w:left="420" w:firstLine="200"/>
              <w:rPr>
                <w:sz w:val="20"/>
              </w:rPr>
            </w:pPr>
          </w:p>
        </w:tc>
        <w:tc>
          <w:tcPr>
            <w:tcW w:w="1167" w:type="dxa"/>
            <w:tcBorders>
              <w:left w:val="single" w:color="000000" w:sz="2" w:space="0"/>
            </w:tcBorders>
            <w:vAlign w:val="top"/>
          </w:tcPr>
          <w:p>
            <w:pPr>
              <w:pStyle w:val="26"/>
              <w:spacing w:line="440" w:lineRule="exact"/>
              <w:ind w:left="420" w:firstLine="200"/>
              <w:rPr>
                <w:sz w:val="20"/>
              </w:rPr>
            </w:pPr>
          </w:p>
        </w:tc>
        <w:tc>
          <w:tcPr>
            <w:tcW w:w="1604" w:type="dxa"/>
            <w:vAlign w:val="top"/>
          </w:tcPr>
          <w:p>
            <w:pPr>
              <w:pStyle w:val="26"/>
              <w:spacing w:line="440" w:lineRule="exact"/>
              <w:ind w:left="420" w:firstLine="200"/>
              <w:rPr>
                <w:sz w:val="2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566" w:hRule="atLeast"/>
        </w:trPr>
        <w:tc>
          <w:tcPr>
            <w:tcW w:w="1604" w:type="dxa"/>
            <w:vAlign w:val="top"/>
          </w:tcPr>
          <w:p>
            <w:pPr>
              <w:pStyle w:val="26"/>
              <w:spacing w:line="440" w:lineRule="exact"/>
              <w:ind w:left="420" w:firstLine="200"/>
              <w:rPr>
                <w:sz w:val="20"/>
              </w:rPr>
            </w:pPr>
          </w:p>
        </w:tc>
        <w:tc>
          <w:tcPr>
            <w:tcW w:w="1204" w:type="dxa"/>
            <w:vAlign w:val="top"/>
          </w:tcPr>
          <w:p>
            <w:pPr>
              <w:pStyle w:val="26"/>
              <w:spacing w:line="440" w:lineRule="exact"/>
              <w:ind w:left="420" w:firstLine="200"/>
              <w:rPr>
                <w:sz w:val="20"/>
              </w:rPr>
            </w:pPr>
          </w:p>
        </w:tc>
        <w:tc>
          <w:tcPr>
            <w:tcW w:w="1313" w:type="dxa"/>
            <w:vAlign w:val="top"/>
          </w:tcPr>
          <w:p>
            <w:pPr>
              <w:pStyle w:val="26"/>
              <w:spacing w:line="440" w:lineRule="exact"/>
              <w:ind w:left="420" w:firstLine="200"/>
              <w:rPr>
                <w:sz w:val="20"/>
              </w:rPr>
            </w:pPr>
          </w:p>
        </w:tc>
        <w:tc>
          <w:tcPr>
            <w:tcW w:w="1129" w:type="dxa"/>
            <w:tcBorders>
              <w:right w:val="single" w:color="000000" w:sz="2" w:space="0"/>
            </w:tcBorders>
            <w:vAlign w:val="top"/>
          </w:tcPr>
          <w:p>
            <w:pPr>
              <w:pStyle w:val="26"/>
              <w:spacing w:line="440" w:lineRule="exact"/>
              <w:ind w:left="420" w:firstLine="200"/>
              <w:rPr>
                <w:sz w:val="20"/>
              </w:rPr>
            </w:pPr>
          </w:p>
        </w:tc>
        <w:tc>
          <w:tcPr>
            <w:tcW w:w="1167" w:type="dxa"/>
            <w:tcBorders>
              <w:left w:val="single" w:color="000000" w:sz="2" w:space="0"/>
            </w:tcBorders>
            <w:vAlign w:val="top"/>
          </w:tcPr>
          <w:p>
            <w:pPr>
              <w:pStyle w:val="26"/>
              <w:spacing w:line="440" w:lineRule="exact"/>
              <w:ind w:left="420" w:firstLine="200"/>
              <w:rPr>
                <w:sz w:val="20"/>
              </w:rPr>
            </w:pPr>
          </w:p>
        </w:tc>
        <w:tc>
          <w:tcPr>
            <w:tcW w:w="1604" w:type="dxa"/>
            <w:vAlign w:val="top"/>
          </w:tcPr>
          <w:p>
            <w:pPr>
              <w:pStyle w:val="26"/>
              <w:spacing w:line="440" w:lineRule="exact"/>
              <w:ind w:left="420" w:firstLine="200"/>
              <w:rPr>
                <w:sz w:val="2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564" w:hRule="atLeast"/>
        </w:trPr>
        <w:tc>
          <w:tcPr>
            <w:tcW w:w="1604" w:type="dxa"/>
            <w:vAlign w:val="top"/>
          </w:tcPr>
          <w:p>
            <w:pPr>
              <w:pStyle w:val="26"/>
              <w:spacing w:line="440" w:lineRule="exact"/>
              <w:ind w:left="420" w:firstLine="200"/>
              <w:rPr>
                <w:sz w:val="20"/>
              </w:rPr>
            </w:pPr>
          </w:p>
        </w:tc>
        <w:tc>
          <w:tcPr>
            <w:tcW w:w="1204" w:type="dxa"/>
            <w:vAlign w:val="top"/>
          </w:tcPr>
          <w:p>
            <w:pPr>
              <w:pStyle w:val="26"/>
              <w:spacing w:line="440" w:lineRule="exact"/>
              <w:ind w:left="420" w:firstLine="200"/>
              <w:rPr>
                <w:sz w:val="20"/>
              </w:rPr>
            </w:pPr>
          </w:p>
        </w:tc>
        <w:tc>
          <w:tcPr>
            <w:tcW w:w="1313" w:type="dxa"/>
            <w:vAlign w:val="top"/>
          </w:tcPr>
          <w:p>
            <w:pPr>
              <w:pStyle w:val="26"/>
              <w:spacing w:line="440" w:lineRule="exact"/>
              <w:ind w:left="420" w:firstLine="200"/>
              <w:rPr>
                <w:sz w:val="20"/>
              </w:rPr>
            </w:pPr>
          </w:p>
        </w:tc>
        <w:tc>
          <w:tcPr>
            <w:tcW w:w="1129" w:type="dxa"/>
            <w:tcBorders>
              <w:right w:val="single" w:color="000000" w:sz="2" w:space="0"/>
            </w:tcBorders>
            <w:vAlign w:val="top"/>
          </w:tcPr>
          <w:p>
            <w:pPr>
              <w:pStyle w:val="26"/>
              <w:spacing w:line="440" w:lineRule="exact"/>
              <w:ind w:left="420" w:firstLine="200"/>
              <w:rPr>
                <w:sz w:val="20"/>
              </w:rPr>
            </w:pPr>
          </w:p>
        </w:tc>
        <w:tc>
          <w:tcPr>
            <w:tcW w:w="1167" w:type="dxa"/>
            <w:tcBorders>
              <w:left w:val="single" w:color="000000" w:sz="2" w:space="0"/>
            </w:tcBorders>
            <w:vAlign w:val="top"/>
          </w:tcPr>
          <w:p>
            <w:pPr>
              <w:pStyle w:val="26"/>
              <w:spacing w:line="440" w:lineRule="exact"/>
              <w:ind w:left="420" w:firstLine="200"/>
              <w:rPr>
                <w:sz w:val="20"/>
              </w:rPr>
            </w:pPr>
          </w:p>
        </w:tc>
        <w:tc>
          <w:tcPr>
            <w:tcW w:w="1604" w:type="dxa"/>
            <w:vAlign w:val="top"/>
          </w:tcPr>
          <w:p>
            <w:pPr>
              <w:pStyle w:val="26"/>
              <w:spacing w:line="440" w:lineRule="exact"/>
              <w:ind w:left="420" w:firstLine="200"/>
              <w:rPr>
                <w:sz w:val="20"/>
              </w:rPr>
            </w:pPr>
          </w:p>
        </w:tc>
      </w:tr>
      <w:tr>
        <w:tblPrEx>
          <w:tblBorders>
            <w:top w:val="single" w:color="000000" w:sz="4" w:space="0"/>
            <w:left w:val="single" w:color="000000" w:sz="4" w:space="0"/>
            <w:bottom w:val="single" w:color="000000" w:sz="4" w:space="0"/>
            <w:right w:val="single" w:color="000000" w:sz="4" w:space="0"/>
            <w:insideH w:val="single" w:color="000000" w:sz="4" w:space="0"/>
            <w:insideV w:val="single" w:color="000000" w:sz="4" w:space="0"/>
          </w:tblBorders>
          <w:tblLayout w:type="fixed"/>
          <w:tblCellMar>
            <w:top w:w="0" w:type="dxa"/>
            <w:left w:w="0" w:type="dxa"/>
            <w:bottom w:w="0" w:type="dxa"/>
            <w:right w:w="0" w:type="dxa"/>
          </w:tblCellMar>
        </w:tblPrEx>
        <w:trPr>
          <w:trHeight w:val="565" w:hRule="atLeast"/>
        </w:trPr>
        <w:tc>
          <w:tcPr>
            <w:tcW w:w="1604" w:type="dxa"/>
            <w:vAlign w:val="top"/>
          </w:tcPr>
          <w:p>
            <w:pPr>
              <w:pStyle w:val="26"/>
              <w:spacing w:line="440" w:lineRule="exact"/>
              <w:ind w:left="420" w:firstLine="200"/>
              <w:rPr>
                <w:sz w:val="20"/>
              </w:rPr>
            </w:pPr>
          </w:p>
        </w:tc>
        <w:tc>
          <w:tcPr>
            <w:tcW w:w="1204" w:type="dxa"/>
            <w:vAlign w:val="top"/>
          </w:tcPr>
          <w:p>
            <w:pPr>
              <w:pStyle w:val="26"/>
              <w:spacing w:line="440" w:lineRule="exact"/>
              <w:ind w:left="420" w:firstLine="200"/>
              <w:rPr>
                <w:sz w:val="20"/>
              </w:rPr>
            </w:pPr>
          </w:p>
        </w:tc>
        <w:tc>
          <w:tcPr>
            <w:tcW w:w="1313" w:type="dxa"/>
            <w:vAlign w:val="top"/>
          </w:tcPr>
          <w:p>
            <w:pPr>
              <w:pStyle w:val="26"/>
              <w:spacing w:line="440" w:lineRule="exact"/>
              <w:ind w:left="420" w:firstLine="200"/>
              <w:rPr>
                <w:sz w:val="20"/>
              </w:rPr>
            </w:pPr>
          </w:p>
        </w:tc>
        <w:tc>
          <w:tcPr>
            <w:tcW w:w="1129" w:type="dxa"/>
            <w:tcBorders>
              <w:right w:val="single" w:color="000000" w:sz="2" w:space="0"/>
            </w:tcBorders>
            <w:vAlign w:val="top"/>
          </w:tcPr>
          <w:p>
            <w:pPr>
              <w:pStyle w:val="26"/>
              <w:spacing w:line="440" w:lineRule="exact"/>
              <w:ind w:left="420" w:firstLine="200"/>
              <w:rPr>
                <w:sz w:val="20"/>
              </w:rPr>
            </w:pPr>
          </w:p>
        </w:tc>
        <w:tc>
          <w:tcPr>
            <w:tcW w:w="1167" w:type="dxa"/>
            <w:tcBorders>
              <w:left w:val="single" w:color="000000" w:sz="2" w:space="0"/>
            </w:tcBorders>
            <w:vAlign w:val="top"/>
          </w:tcPr>
          <w:p>
            <w:pPr>
              <w:pStyle w:val="26"/>
              <w:spacing w:line="440" w:lineRule="exact"/>
              <w:ind w:left="420" w:firstLine="200"/>
              <w:rPr>
                <w:sz w:val="20"/>
              </w:rPr>
            </w:pPr>
          </w:p>
        </w:tc>
        <w:tc>
          <w:tcPr>
            <w:tcW w:w="1604" w:type="dxa"/>
            <w:vAlign w:val="top"/>
          </w:tcPr>
          <w:p>
            <w:pPr>
              <w:pStyle w:val="26"/>
              <w:spacing w:line="440" w:lineRule="exact"/>
              <w:ind w:left="420" w:firstLine="200"/>
              <w:rPr>
                <w:sz w:val="20"/>
              </w:rPr>
            </w:pPr>
          </w:p>
        </w:tc>
      </w:tr>
    </w:tbl>
    <w:p>
      <w:pPr>
        <w:spacing w:before="20" w:line="440" w:lineRule="exact"/>
        <w:ind w:left="427"/>
        <w:rPr>
          <w:rFonts w:ascii="宋体" w:hAnsi="宋体"/>
          <w:b/>
        </w:rPr>
      </w:pPr>
      <w:r>
        <w:rPr>
          <w:rFonts w:ascii="宋体" w:hAnsi="宋体"/>
          <w:b/>
        </w:rPr>
        <w:t>注</w:t>
      </w:r>
      <w:r>
        <w:rPr>
          <w:rFonts w:hint="eastAsia" w:ascii="宋体" w:hAnsi="宋体"/>
          <w:b/>
        </w:rPr>
        <w:t>：</w:t>
      </w:r>
      <w:r>
        <w:rPr>
          <w:rFonts w:ascii="宋体" w:hAnsi="宋体"/>
          <w:b/>
        </w:rPr>
        <w:t>1、</w:t>
      </w:r>
      <w:r>
        <w:rPr>
          <w:rFonts w:hint="eastAsia" w:ascii="宋体" w:hAnsi="宋体"/>
          <w:b/>
        </w:rPr>
        <w:t>请提供主要管理人员相关学历证书、职业资格证书、职称证书、社保证明；</w:t>
      </w:r>
    </w:p>
    <w:p>
      <w:pPr>
        <w:spacing w:before="20" w:line="440" w:lineRule="exact"/>
        <w:ind w:left="427" w:firstLine="422" w:firstLineChars="200"/>
        <w:rPr>
          <w:rFonts w:ascii="宋体" w:hAnsi="宋体"/>
          <w:b/>
        </w:rPr>
      </w:pPr>
      <w:r>
        <w:rPr>
          <w:rFonts w:hint="eastAsia" w:ascii="宋体" w:hAnsi="宋体"/>
          <w:b/>
        </w:rPr>
        <w:t>2、已完工项目业主方评价（如有）。</w:t>
      </w:r>
    </w:p>
    <w:p>
      <w:pPr>
        <w:spacing w:before="20" w:line="440" w:lineRule="exact"/>
        <w:ind w:left="427"/>
        <w:rPr>
          <w:rFonts w:ascii="宋体" w:hAnsi="宋体"/>
        </w:rPr>
      </w:pPr>
    </w:p>
    <w:p>
      <w:pPr>
        <w:widowControl/>
        <w:snapToGrid w:val="0"/>
        <w:spacing w:line="440" w:lineRule="exact"/>
        <w:ind w:firstLine="420" w:firstLineChars="200"/>
        <w:jc w:val="left"/>
        <w:rPr>
          <w:rFonts w:ascii="宋体" w:hAnsi="宋体" w:eastAsia="宋体"/>
          <w:sz w:val="24"/>
        </w:rPr>
      </w:pPr>
      <w:r>
        <w:rPr>
          <w:rFonts w:ascii="宋体" w:hAnsi="宋体"/>
        </w:rPr>
        <w:t>投标</w:t>
      </w:r>
      <w:r>
        <w:rPr>
          <w:rFonts w:hint="eastAsia" w:ascii="宋体" w:hAnsi="宋体"/>
        </w:rPr>
        <w:t>方</w:t>
      </w:r>
      <w:r>
        <w:rPr>
          <w:rFonts w:ascii="宋体" w:hAnsi="宋体"/>
        </w:rPr>
        <w:t>（盖单位公章）：法定代表人或委托代理人（签字或盖章）：</w:t>
      </w:r>
    </w:p>
    <w:sectPr>
      <w:pgSz w:w="11906" w:h="16838"/>
      <w:pgMar w:top="1440" w:right="1800" w:bottom="1440" w:left="1800" w:header="851" w:footer="992" w:gutter="0"/>
      <w:cols w:space="720"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20007A87" w:usb1="80000000" w:usb2="00000008" w:usb3="00000000" w:csb0="000001FF" w:csb1="00000000"/>
  </w:font>
  <w:font w:name="宋体">
    <w:panose1 w:val="02010600030101010101"/>
    <w:charset w:val="86"/>
    <w:family w:val="auto"/>
    <w:pitch w:val="default"/>
    <w:sig w:usb0="00000003" w:usb1="288F0000" w:usb2="00000006" w:usb3="00000000" w:csb0="00040001" w:csb1="00000000"/>
  </w:font>
  <w:font w:name="Tahoma">
    <w:panose1 w:val="020B0604030504040204"/>
    <w:charset w:val="00"/>
    <w:family w:val="auto"/>
    <w:pitch w:val="default"/>
    <w:sig w:usb0="E1002EFF" w:usb1="C000605B" w:usb2="00000029" w:usb3="00000000" w:csb0="200101FF" w:csb1="20280000"/>
  </w:font>
  <w:font w:name="Symbol">
    <w:panose1 w:val="05050102010706020507"/>
    <w:charset w:val="02"/>
    <w:family w:val="roman"/>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Wingdings">
    <w:panose1 w:val="05000000000000000000"/>
    <w:charset w:val="02"/>
    <w:family w:val="auto"/>
    <w:pitch w:val="default"/>
    <w:sig w:usb0="00000000" w:usb1="00000000" w:usb2="00000000" w:usb3="00000000" w:csb0="80000000" w:csb1="00000000"/>
  </w:font>
  <w:font w:name="微软雅黑">
    <w:panose1 w:val="020B0503020204020204"/>
    <w:charset w:val="86"/>
    <w:family w:val="auto"/>
    <w:pitch w:val="default"/>
    <w:sig w:usb0="80000287" w:usb1="2ACF3C50" w:usb2="00000016" w:usb3="00000000" w:csb0="0004001F" w:csb1="00000000"/>
  </w:font>
  <w:font w:name="Calibri">
    <w:panose1 w:val="020F0502020204030204"/>
    <w:charset w:val="00"/>
    <w:family w:val="auto"/>
    <w:pitch w:val="default"/>
    <w:sig w:usb0="E0002AFF" w:usb1="C000247B" w:usb2="00000009" w:usb3="00000000" w:csb0="200001FF" w:csb1="00000000"/>
  </w:font>
  <w:font w:name="金山简魏碑">
    <w:altName w:val="宋体"/>
    <w:panose1 w:val="00000000000000000000"/>
    <w:charset w:val="86"/>
    <w:family w:val="auto"/>
    <w:pitch w:val="default"/>
    <w:sig w:usb0="00000000" w:usb1="00000000" w:usb2="00000010" w:usb3="00000000" w:csb0="00040000" w:csb1="00000000"/>
  </w:font>
  <w:font w:name="ˎ̥">
    <w:altName w:val="Times New Roman"/>
    <w:panose1 w:val="00000000000000000000"/>
    <w:charset w:val="00"/>
    <w:family w:val="auto"/>
    <w:pitch w:val="default"/>
    <w:sig w:usb0="00000000" w:usb1="00000000" w:usb2="00000000"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pPr>
      <w:pStyle w:val="16"/>
      <w:jc w:val="center"/>
    </w:pPr>
    <w:r>
      <w:fldChar w:fldCharType="begin"/>
    </w:r>
    <w:r>
      <w:instrText xml:space="preserve">PAGE   \* MERGEFORMAT</w:instrText>
    </w:r>
    <w:r>
      <w:fldChar w:fldCharType="separate"/>
    </w:r>
    <w:r>
      <w:rPr>
        <w:lang w:val="zh-CN"/>
      </w:rPr>
      <w:t>16</w:t>
    </w:r>
    <w:r>
      <w:fldChar w:fldCharType="end"/>
    </w:r>
  </w:p>
  <w:p>
    <w:pPr>
      <w:pStyle w:val="16"/>
    </w:pPr>
  </w:p>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1579823317">
    <w:nsid w:val="5E2A30D5"/>
    <w:multiLevelType w:val="multilevel"/>
    <w:tmpl w:val="5E2A30D5"/>
    <w:lvl w:ilvl="0" w:tentative="1">
      <w:start w:val="1"/>
      <w:numFmt w:val="none"/>
      <w:pStyle w:val="2"/>
      <w:lvlText w:val="第 一 条"/>
      <w:lvlJc w:val="left"/>
      <w:pPr>
        <w:tabs>
          <w:tab w:val="left" w:pos="1800"/>
        </w:tabs>
        <w:ind w:firstLine="1"/>
      </w:pPr>
      <w:rPr>
        <w:rFonts w:hint="eastAsia"/>
      </w:rPr>
    </w:lvl>
    <w:lvl w:ilvl="1" w:tentative="1">
      <w:start w:val="1"/>
      <w:numFmt w:val="none"/>
      <w:pStyle w:val="3"/>
      <w:isLgl/>
      <w:lvlText w:val="一"/>
      <w:lvlJc w:val="left"/>
      <w:pPr>
        <w:tabs>
          <w:tab w:val="left" w:pos="720"/>
        </w:tabs>
        <w:ind w:left="0" w:firstLine="0"/>
      </w:pPr>
      <w:rPr>
        <w:rFonts w:hint="eastAsia"/>
      </w:rPr>
    </w:lvl>
    <w:lvl w:ilvl="2" w:tentative="1">
      <w:start w:val="1"/>
      <w:numFmt w:val="lowerLetter"/>
      <w:pStyle w:val="5"/>
      <w:lvlText w:val="(%3)"/>
      <w:lvlJc w:val="left"/>
      <w:pPr>
        <w:tabs>
          <w:tab w:val="left" w:pos="720"/>
        </w:tabs>
        <w:ind w:left="720" w:hanging="432"/>
      </w:pPr>
      <w:rPr>
        <w:rFonts w:hint="eastAsia"/>
      </w:rPr>
    </w:lvl>
    <w:lvl w:ilvl="3" w:tentative="1">
      <w:start w:val="1"/>
      <w:numFmt w:val="lowerRoman"/>
      <w:pStyle w:val="6"/>
      <w:lvlText w:val="(%4)"/>
      <w:lvlJc w:val="right"/>
      <w:pPr>
        <w:tabs>
          <w:tab w:val="left" w:pos="864"/>
        </w:tabs>
        <w:ind w:left="864" w:hanging="144"/>
      </w:pPr>
      <w:rPr>
        <w:rFonts w:hint="eastAsia"/>
      </w:rPr>
    </w:lvl>
    <w:lvl w:ilvl="4" w:tentative="1">
      <w:start w:val="1"/>
      <w:numFmt w:val="decimal"/>
      <w:pStyle w:val="7"/>
      <w:lvlText w:val="%5)"/>
      <w:lvlJc w:val="left"/>
      <w:pPr>
        <w:tabs>
          <w:tab w:val="left" w:pos="1008"/>
        </w:tabs>
        <w:ind w:left="1008" w:hanging="432"/>
      </w:pPr>
      <w:rPr>
        <w:rFonts w:hint="eastAsia"/>
      </w:rPr>
    </w:lvl>
    <w:lvl w:ilvl="5" w:tentative="1">
      <w:start w:val="1"/>
      <w:numFmt w:val="lowerLetter"/>
      <w:pStyle w:val="8"/>
      <w:lvlText w:val="%6)"/>
      <w:lvlJc w:val="left"/>
      <w:pPr>
        <w:tabs>
          <w:tab w:val="left" w:pos="1152"/>
        </w:tabs>
        <w:ind w:left="1152" w:hanging="432"/>
      </w:pPr>
      <w:rPr>
        <w:rFonts w:hint="eastAsia"/>
      </w:rPr>
    </w:lvl>
    <w:lvl w:ilvl="6" w:tentative="1">
      <w:start w:val="1"/>
      <w:numFmt w:val="lowerRoman"/>
      <w:pStyle w:val="9"/>
      <w:lvlText w:val="%7)"/>
      <w:lvlJc w:val="right"/>
      <w:pPr>
        <w:tabs>
          <w:tab w:val="left" w:pos="1296"/>
        </w:tabs>
        <w:ind w:left="1296" w:hanging="288"/>
      </w:pPr>
      <w:rPr>
        <w:rFonts w:hint="eastAsia"/>
      </w:rPr>
    </w:lvl>
    <w:lvl w:ilvl="7" w:tentative="1">
      <w:start w:val="1"/>
      <w:numFmt w:val="lowerLetter"/>
      <w:pStyle w:val="10"/>
      <w:lvlText w:val="%8."/>
      <w:lvlJc w:val="left"/>
      <w:pPr>
        <w:tabs>
          <w:tab w:val="left" w:pos="1440"/>
        </w:tabs>
        <w:ind w:left="1440" w:hanging="432"/>
      </w:pPr>
      <w:rPr>
        <w:rFonts w:hint="eastAsia"/>
      </w:rPr>
    </w:lvl>
    <w:lvl w:ilvl="8" w:tentative="1">
      <w:start w:val="1"/>
      <w:numFmt w:val="lowerRoman"/>
      <w:pStyle w:val="11"/>
      <w:lvlText w:val="%9."/>
      <w:lvlJc w:val="right"/>
      <w:pPr>
        <w:tabs>
          <w:tab w:val="left" w:pos="1584"/>
        </w:tabs>
        <w:ind w:left="1584" w:hanging="144"/>
      </w:pPr>
      <w:rPr>
        <w:rFonts w:hint="eastAsia"/>
      </w:rPr>
    </w:lvl>
  </w:abstractNum>
  <w:abstractNum w:abstractNumId="703016020">
    <w:nsid w:val="29E72C54"/>
    <w:multiLevelType w:val="multilevel"/>
    <w:tmpl w:val="29E72C54"/>
    <w:lvl w:ilvl="0" w:tentative="1">
      <w:start w:val="1"/>
      <w:numFmt w:val="lowerLetter"/>
      <w:lvlText w:val="%1)"/>
      <w:lvlJc w:val="left"/>
      <w:pPr>
        <w:ind w:left="840" w:hanging="420"/>
      </w:pPr>
    </w:lvl>
    <w:lvl w:ilvl="1" w:tentative="1">
      <w:start w:val="1"/>
      <w:numFmt w:val="lowerLetter"/>
      <w:lvlText w:val="%2)"/>
      <w:lvlJc w:val="left"/>
      <w:pPr>
        <w:ind w:left="1260" w:hanging="420"/>
      </w:pPr>
    </w:lvl>
    <w:lvl w:ilvl="2" w:tentative="1">
      <w:start w:val="1"/>
      <w:numFmt w:val="lowerRoman"/>
      <w:lvlText w:val="%3."/>
      <w:lvlJc w:val="right"/>
      <w:pPr>
        <w:ind w:left="1680" w:hanging="420"/>
      </w:pPr>
    </w:lvl>
    <w:lvl w:ilvl="3" w:tentative="1">
      <w:start w:val="1"/>
      <w:numFmt w:val="decimal"/>
      <w:lvlText w:val="%4."/>
      <w:lvlJc w:val="left"/>
      <w:pPr>
        <w:ind w:left="2100" w:hanging="420"/>
      </w:pPr>
    </w:lvl>
    <w:lvl w:ilvl="4" w:tentative="1">
      <w:start w:val="1"/>
      <w:numFmt w:val="lowerLetter"/>
      <w:lvlText w:val="%5)"/>
      <w:lvlJc w:val="left"/>
      <w:pPr>
        <w:ind w:left="2520" w:hanging="420"/>
      </w:pPr>
    </w:lvl>
    <w:lvl w:ilvl="5" w:tentative="1">
      <w:start w:val="1"/>
      <w:numFmt w:val="lowerRoman"/>
      <w:lvlText w:val="%6."/>
      <w:lvlJc w:val="right"/>
      <w:pPr>
        <w:ind w:left="2940" w:hanging="420"/>
      </w:pPr>
    </w:lvl>
    <w:lvl w:ilvl="6" w:tentative="1">
      <w:start w:val="1"/>
      <w:numFmt w:val="decimal"/>
      <w:lvlText w:val="%7."/>
      <w:lvlJc w:val="left"/>
      <w:pPr>
        <w:ind w:left="3360" w:hanging="420"/>
      </w:pPr>
    </w:lvl>
    <w:lvl w:ilvl="7" w:tentative="1">
      <w:start w:val="1"/>
      <w:numFmt w:val="lowerLetter"/>
      <w:lvlText w:val="%8)"/>
      <w:lvlJc w:val="left"/>
      <w:pPr>
        <w:ind w:left="3780" w:hanging="420"/>
      </w:pPr>
    </w:lvl>
    <w:lvl w:ilvl="8" w:tentative="1">
      <w:start w:val="1"/>
      <w:numFmt w:val="lowerRoman"/>
      <w:lvlText w:val="%9."/>
      <w:lvlJc w:val="right"/>
      <w:pPr>
        <w:ind w:left="4200" w:hanging="420"/>
      </w:pPr>
    </w:lvl>
  </w:abstractNum>
  <w:abstractNum w:abstractNumId="31808186">
    <w:nsid w:val="01E55ABA"/>
    <w:multiLevelType w:val="multilevel"/>
    <w:tmpl w:val="01E55ABA"/>
    <w:lvl w:ilvl="0" w:tentative="1">
      <w:start w:val="1"/>
      <w:numFmt w:val="lowerLetter"/>
      <w:lvlText w:val="%1)"/>
      <w:lvlJc w:val="left"/>
      <w:pPr>
        <w:ind w:left="840" w:hanging="420"/>
      </w:pPr>
    </w:lvl>
    <w:lvl w:ilvl="1" w:tentative="1">
      <w:start w:val="1"/>
      <w:numFmt w:val="lowerLetter"/>
      <w:lvlText w:val="%2)"/>
      <w:lvlJc w:val="left"/>
      <w:pPr>
        <w:ind w:left="1260" w:hanging="420"/>
      </w:pPr>
    </w:lvl>
    <w:lvl w:ilvl="2" w:tentative="1">
      <w:start w:val="1"/>
      <w:numFmt w:val="lowerRoman"/>
      <w:lvlText w:val="%3."/>
      <w:lvlJc w:val="right"/>
      <w:pPr>
        <w:ind w:left="1680" w:hanging="420"/>
      </w:pPr>
    </w:lvl>
    <w:lvl w:ilvl="3" w:tentative="1">
      <w:start w:val="1"/>
      <w:numFmt w:val="decimal"/>
      <w:lvlText w:val="%4."/>
      <w:lvlJc w:val="left"/>
      <w:pPr>
        <w:ind w:left="2100" w:hanging="420"/>
      </w:pPr>
    </w:lvl>
    <w:lvl w:ilvl="4" w:tentative="1">
      <w:start w:val="1"/>
      <w:numFmt w:val="lowerLetter"/>
      <w:lvlText w:val="%5)"/>
      <w:lvlJc w:val="left"/>
      <w:pPr>
        <w:ind w:left="2520" w:hanging="420"/>
      </w:pPr>
    </w:lvl>
    <w:lvl w:ilvl="5" w:tentative="1">
      <w:start w:val="1"/>
      <w:numFmt w:val="lowerRoman"/>
      <w:lvlText w:val="%6."/>
      <w:lvlJc w:val="right"/>
      <w:pPr>
        <w:ind w:left="2940" w:hanging="420"/>
      </w:pPr>
    </w:lvl>
    <w:lvl w:ilvl="6" w:tentative="1">
      <w:start w:val="1"/>
      <w:numFmt w:val="decimal"/>
      <w:lvlText w:val="%7."/>
      <w:lvlJc w:val="left"/>
      <w:pPr>
        <w:ind w:left="3360" w:hanging="420"/>
      </w:pPr>
    </w:lvl>
    <w:lvl w:ilvl="7" w:tentative="1">
      <w:start w:val="1"/>
      <w:numFmt w:val="lowerLetter"/>
      <w:lvlText w:val="%8)"/>
      <w:lvlJc w:val="left"/>
      <w:pPr>
        <w:ind w:left="3780" w:hanging="420"/>
      </w:pPr>
    </w:lvl>
    <w:lvl w:ilvl="8" w:tentative="1">
      <w:start w:val="1"/>
      <w:numFmt w:val="lowerRoman"/>
      <w:lvlText w:val="%9."/>
      <w:lvlJc w:val="right"/>
      <w:pPr>
        <w:ind w:left="4200" w:hanging="420"/>
      </w:pPr>
    </w:lvl>
  </w:abstractNum>
  <w:abstractNum w:abstractNumId="82266705">
    <w:nsid w:val="04E74A51"/>
    <w:multiLevelType w:val="multilevel"/>
    <w:tmpl w:val="04E74A51"/>
    <w:lvl w:ilvl="0" w:tentative="1">
      <w:start w:val="1"/>
      <w:numFmt w:val="lowerLetter"/>
      <w:lvlText w:val="%1)"/>
      <w:lvlJc w:val="left"/>
      <w:pPr>
        <w:ind w:left="840" w:hanging="420"/>
      </w:pPr>
    </w:lvl>
    <w:lvl w:ilvl="1" w:tentative="1">
      <w:start w:val="1"/>
      <w:numFmt w:val="lowerLetter"/>
      <w:lvlText w:val="%2)"/>
      <w:lvlJc w:val="left"/>
      <w:pPr>
        <w:ind w:left="1260" w:hanging="420"/>
      </w:pPr>
    </w:lvl>
    <w:lvl w:ilvl="2" w:tentative="1">
      <w:start w:val="1"/>
      <w:numFmt w:val="lowerRoman"/>
      <w:lvlText w:val="%3."/>
      <w:lvlJc w:val="right"/>
      <w:pPr>
        <w:ind w:left="1680" w:hanging="420"/>
      </w:pPr>
    </w:lvl>
    <w:lvl w:ilvl="3" w:tentative="1">
      <w:start w:val="1"/>
      <w:numFmt w:val="decimal"/>
      <w:lvlText w:val="%4."/>
      <w:lvlJc w:val="left"/>
      <w:pPr>
        <w:ind w:left="2100" w:hanging="420"/>
      </w:pPr>
    </w:lvl>
    <w:lvl w:ilvl="4" w:tentative="1">
      <w:start w:val="1"/>
      <w:numFmt w:val="lowerLetter"/>
      <w:lvlText w:val="%5)"/>
      <w:lvlJc w:val="left"/>
      <w:pPr>
        <w:ind w:left="2520" w:hanging="420"/>
      </w:pPr>
    </w:lvl>
    <w:lvl w:ilvl="5" w:tentative="1">
      <w:start w:val="1"/>
      <w:numFmt w:val="lowerRoman"/>
      <w:lvlText w:val="%6."/>
      <w:lvlJc w:val="right"/>
      <w:pPr>
        <w:ind w:left="2940" w:hanging="420"/>
      </w:pPr>
    </w:lvl>
    <w:lvl w:ilvl="6" w:tentative="1">
      <w:start w:val="1"/>
      <w:numFmt w:val="decimal"/>
      <w:lvlText w:val="%7."/>
      <w:lvlJc w:val="left"/>
      <w:pPr>
        <w:ind w:left="3360" w:hanging="420"/>
      </w:pPr>
    </w:lvl>
    <w:lvl w:ilvl="7" w:tentative="1">
      <w:start w:val="1"/>
      <w:numFmt w:val="lowerLetter"/>
      <w:lvlText w:val="%8)"/>
      <w:lvlJc w:val="left"/>
      <w:pPr>
        <w:ind w:left="3780" w:hanging="420"/>
      </w:pPr>
    </w:lvl>
    <w:lvl w:ilvl="8" w:tentative="1">
      <w:start w:val="1"/>
      <w:numFmt w:val="lowerRoman"/>
      <w:lvlText w:val="%9."/>
      <w:lvlJc w:val="right"/>
      <w:pPr>
        <w:ind w:left="4200" w:hanging="420"/>
      </w:pPr>
    </w:lvl>
  </w:abstractNum>
  <w:abstractNum w:abstractNumId="205223391">
    <w:nsid w:val="0C3B75DF"/>
    <w:multiLevelType w:val="multilevel"/>
    <w:tmpl w:val="0C3B75DF"/>
    <w:lvl w:ilvl="0" w:tentative="1">
      <w:start w:val="1"/>
      <w:numFmt w:val="decimal"/>
      <w:lvlText w:val="%1."/>
      <w:lvlJc w:val="left"/>
      <w:pPr>
        <w:tabs>
          <w:tab w:val="left" w:pos="794"/>
        </w:tabs>
        <w:ind w:left="794" w:hanging="794"/>
      </w:pPr>
      <w:rPr>
        <w:rFonts w:hint="eastAsia" w:ascii="黑体" w:hAnsi="宋体" w:eastAsia="黑体"/>
        <w:b/>
        <w:i w:val="0"/>
        <w:caps w:val="0"/>
        <w:strike w:val="0"/>
        <w:dstrike w:val="0"/>
        <w:snapToGrid w:val="0"/>
        <w:color w:val="auto"/>
        <w:spacing w:val="0"/>
        <w:w w:val="100"/>
        <w:kern w:val="0"/>
        <w:position w:val="0"/>
        <w:sz w:val="36"/>
        <w:szCs w:val="36"/>
      </w:rPr>
    </w:lvl>
    <w:lvl w:ilvl="1" w:tentative="1">
      <w:start w:val="1"/>
      <w:numFmt w:val="decimal"/>
      <w:lvlText w:val="%1.%2."/>
      <w:lvlJc w:val="left"/>
      <w:pPr>
        <w:tabs>
          <w:tab w:val="left" w:pos="794"/>
        </w:tabs>
        <w:ind w:left="794" w:hanging="794"/>
      </w:pPr>
      <w:rPr>
        <w:rFonts w:hint="eastAsia" w:ascii="宋体" w:hAnsi="宋体" w:eastAsia="宋体"/>
        <w:b/>
        <w:i w:val="0"/>
        <w:caps w:val="0"/>
        <w:strike w:val="0"/>
        <w:dstrike w:val="0"/>
        <w:snapToGrid w:val="0"/>
        <w:color w:val="auto"/>
        <w:spacing w:val="0"/>
        <w:w w:val="100"/>
        <w:kern w:val="0"/>
        <w:position w:val="0"/>
        <w:sz w:val="24"/>
        <w:szCs w:val="24"/>
      </w:rPr>
    </w:lvl>
    <w:lvl w:ilvl="2" w:tentative="1">
      <w:start w:val="1"/>
      <w:numFmt w:val="decimal"/>
      <w:pStyle w:val="25"/>
      <w:isLgl/>
      <w:lvlText w:val="%1.%2.%3."/>
      <w:lvlJc w:val="left"/>
      <w:pPr>
        <w:tabs>
          <w:tab w:val="left" w:pos="794"/>
        </w:tabs>
        <w:ind w:left="794" w:hanging="794"/>
      </w:pPr>
      <w:rPr>
        <w:rFonts w:hint="eastAsia" w:ascii="宋体" w:eastAsia="宋体"/>
        <w:b w:val="0"/>
        <w:i w:val="0"/>
        <w:caps w:val="0"/>
        <w:strike w:val="0"/>
        <w:dstrike w:val="0"/>
        <w:snapToGrid w:val="0"/>
        <w:spacing w:val="0"/>
        <w:w w:val="100"/>
        <w:kern w:val="0"/>
        <w:position w:val="0"/>
        <w:sz w:val="21"/>
        <w:szCs w:val="21"/>
      </w:rPr>
    </w:lvl>
    <w:lvl w:ilvl="3" w:tentative="1">
      <w:start w:val="1"/>
      <w:numFmt w:val="decimal"/>
      <w:lvlText w:val="（%4）"/>
      <w:lvlJc w:val="left"/>
      <w:pPr>
        <w:tabs>
          <w:tab w:val="left" w:pos="794"/>
        </w:tabs>
        <w:ind w:left="794" w:hanging="681"/>
      </w:pPr>
      <w:rPr>
        <w:rFonts w:hint="eastAsia" w:ascii="宋体" w:eastAsia="宋体"/>
        <w:b w:val="0"/>
        <w:i w:val="0"/>
        <w:caps w:val="0"/>
        <w:strike w:val="0"/>
        <w:dstrike w:val="0"/>
        <w:snapToGrid w:val="0"/>
        <w:spacing w:val="0"/>
        <w:w w:val="100"/>
        <w:kern w:val="0"/>
        <w:position w:val="0"/>
        <w:sz w:val="21"/>
      </w:rPr>
    </w:lvl>
    <w:lvl w:ilvl="4" w:tentative="1">
      <w:start w:val="1"/>
      <w:numFmt w:val="lowerLetter"/>
      <w:lvlText w:val="%5."/>
      <w:lvlJc w:val="left"/>
      <w:pPr>
        <w:tabs>
          <w:tab w:val="left" w:pos="794"/>
        </w:tabs>
        <w:ind w:left="794" w:hanging="454"/>
      </w:pPr>
      <w:rPr>
        <w:rFonts w:hint="eastAsia" w:ascii="宋体" w:eastAsia="宋体"/>
        <w:b w:val="0"/>
        <w:i w:val="0"/>
        <w:caps w:val="0"/>
        <w:strike w:val="0"/>
        <w:dstrike w:val="0"/>
        <w:snapToGrid w:val="0"/>
        <w:spacing w:val="0"/>
        <w:w w:val="100"/>
        <w:kern w:val="0"/>
        <w:position w:val="0"/>
        <w:sz w:val="21"/>
      </w:rPr>
    </w:lvl>
    <w:lvl w:ilvl="5" w:tentative="1">
      <w:start w:val="1"/>
      <w:numFmt w:val="bullet"/>
      <w:lvlText w:val="◆"/>
      <w:lvlJc w:val="left"/>
      <w:pPr>
        <w:tabs>
          <w:tab w:val="left" w:pos="794"/>
        </w:tabs>
        <w:ind w:left="794" w:hanging="454"/>
      </w:pPr>
      <w:rPr>
        <w:rFonts w:hint="eastAsia" w:ascii="宋体" w:hAnsi="宋体" w:eastAsia="宋体"/>
        <w:b w:val="0"/>
        <w:i w:val="0"/>
        <w:caps w:val="0"/>
        <w:strike w:val="0"/>
        <w:dstrike w:val="0"/>
        <w:snapToGrid w:val="0"/>
        <w:color w:val="auto"/>
        <w:spacing w:val="0"/>
        <w:w w:val="100"/>
        <w:kern w:val="0"/>
        <w:position w:val="0"/>
        <w:sz w:val="21"/>
      </w:rPr>
    </w:lvl>
    <w:lvl w:ilvl="6" w:tentative="1">
      <w:start w:val="1"/>
      <w:numFmt w:val="none"/>
      <w:lvlText w:val=""/>
      <w:lvlJc w:val="left"/>
      <w:pPr>
        <w:tabs>
          <w:tab w:val="left" w:pos="794"/>
        </w:tabs>
        <w:ind w:left="794" w:hanging="794"/>
      </w:pPr>
      <w:rPr>
        <w:rFonts w:hint="eastAsia"/>
      </w:rPr>
    </w:lvl>
    <w:lvl w:ilvl="7" w:tentative="1">
      <w:start w:val="1"/>
      <w:numFmt w:val="none"/>
      <w:lvlText w:val=""/>
      <w:lvlJc w:val="left"/>
      <w:pPr>
        <w:tabs>
          <w:tab w:val="left" w:pos="794"/>
        </w:tabs>
        <w:ind w:left="794" w:hanging="794"/>
      </w:pPr>
      <w:rPr>
        <w:rFonts w:hint="eastAsia"/>
      </w:rPr>
    </w:lvl>
    <w:lvl w:ilvl="8" w:tentative="1">
      <w:start w:val="1"/>
      <w:numFmt w:val="none"/>
      <w:lvlText w:val=""/>
      <w:lvlJc w:val="left"/>
      <w:pPr>
        <w:tabs>
          <w:tab w:val="left" w:pos="794"/>
        </w:tabs>
        <w:ind w:left="794" w:hanging="794"/>
      </w:pPr>
      <w:rPr>
        <w:rFonts w:hint="eastAsia"/>
      </w:rPr>
    </w:lvl>
  </w:abstractNum>
  <w:abstractNum w:abstractNumId="853416757">
    <w:nsid w:val="32DE1B35"/>
    <w:multiLevelType w:val="multilevel"/>
    <w:tmpl w:val="32DE1B35"/>
    <w:lvl w:ilvl="0" w:tentative="1">
      <w:start w:val="1"/>
      <w:numFmt w:val="decimal"/>
      <w:pStyle w:val="29"/>
      <w:lvlText w:val="%1."/>
      <w:lvlJc w:val="left"/>
      <w:pPr>
        <w:tabs>
          <w:tab w:val="left" w:pos="501"/>
        </w:tabs>
        <w:ind w:left="501" w:hanging="360"/>
      </w:pPr>
      <w:rPr>
        <w:rFonts w:hint="default"/>
      </w:rPr>
    </w:lvl>
    <w:lvl w:ilvl="1" w:tentative="1">
      <w:start w:val="1"/>
      <w:numFmt w:val="decimal"/>
      <w:lvlText w:val="%1.%2."/>
      <w:lvlJc w:val="left"/>
      <w:pPr>
        <w:tabs>
          <w:tab w:val="left" w:pos="574"/>
        </w:tabs>
        <w:ind w:left="574" w:hanging="432"/>
      </w:pPr>
      <w:rPr>
        <w:rFonts w:hint="default"/>
      </w:rPr>
    </w:lvl>
    <w:lvl w:ilvl="2" w:tentative="1">
      <w:start w:val="1"/>
      <w:numFmt w:val="decimal"/>
      <w:pStyle w:val="28"/>
      <w:lvlText w:val="%1.%2.%3."/>
      <w:lvlJc w:val="left"/>
      <w:pPr>
        <w:tabs>
          <w:tab w:val="left" w:pos="1440"/>
        </w:tabs>
        <w:ind w:left="1224" w:hanging="504"/>
      </w:pPr>
      <w:rPr>
        <w:rFonts w:hint="default"/>
      </w:rPr>
    </w:lvl>
    <w:lvl w:ilvl="3" w:tentative="1">
      <w:start w:val="1"/>
      <w:numFmt w:val="decimal"/>
      <w:lvlText w:val="%1.%2.%3.%4."/>
      <w:lvlJc w:val="left"/>
      <w:pPr>
        <w:tabs>
          <w:tab w:val="left" w:pos="1800"/>
        </w:tabs>
        <w:ind w:left="1728" w:hanging="648"/>
      </w:pPr>
      <w:rPr>
        <w:rFonts w:hint="default"/>
      </w:rPr>
    </w:lvl>
    <w:lvl w:ilvl="4" w:tentative="1">
      <w:start w:val="1"/>
      <w:numFmt w:val="decimal"/>
      <w:lvlText w:val="%1.%2.%3.%4.%5."/>
      <w:lvlJc w:val="left"/>
      <w:pPr>
        <w:tabs>
          <w:tab w:val="left" w:pos="2520"/>
        </w:tabs>
        <w:ind w:left="2232" w:hanging="792"/>
      </w:pPr>
      <w:rPr>
        <w:rFonts w:hint="default"/>
      </w:rPr>
    </w:lvl>
    <w:lvl w:ilvl="5" w:tentative="1">
      <w:start w:val="1"/>
      <w:numFmt w:val="decimal"/>
      <w:lvlText w:val="%1.%2.%3.%4.%5.%6."/>
      <w:lvlJc w:val="left"/>
      <w:pPr>
        <w:tabs>
          <w:tab w:val="left" w:pos="2880"/>
        </w:tabs>
        <w:ind w:left="2736" w:hanging="936"/>
      </w:pPr>
      <w:rPr>
        <w:rFonts w:hint="default"/>
      </w:rPr>
    </w:lvl>
    <w:lvl w:ilvl="6" w:tentative="1">
      <w:start w:val="1"/>
      <w:numFmt w:val="decimal"/>
      <w:lvlText w:val="%1.%2.%3.%4.%5.%6.%7."/>
      <w:lvlJc w:val="left"/>
      <w:pPr>
        <w:tabs>
          <w:tab w:val="left" w:pos="3600"/>
        </w:tabs>
        <w:ind w:left="3240" w:hanging="1080"/>
      </w:pPr>
      <w:rPr>
        <w:rFonts w:hint="default"/>
      </w:rPr>
    </w:lvl>
    <w:lvl w:ilvl="7" w:tentative="1">
      <w:start w:val="1"/>
      <w:numFmt w:val="decimal"/>
      <w:lvlText w:val="%1.%2.%3.%4.%5.%6.%7.%8."/>
      <w:lvlJc w:val="left"/>
      <w:pPr>
        <w:tabs>
          <w:tab w:val="left" w:pos="3960"/>
        </w:tabs>
        <w:ind w:left="3744" w:hanging="1224"/>
      </w:pPr>
      <w:rPr>
        <w:rFonts w:hint="default"/>
      </w:rPr>
    </w:lvl>
    <w:lvl w:ilvl="8" w:tentative="1">
      <w:start w:val="1"/>
      <w:numFmt w:val="decimal"/>
      <w:lvlText w:val="%1.%2.%3.%4.%5.%6.%7.%8.%9."/>
      <w:lvlJc w:val="left"/>
      <w:pPr>
        <w:tabs>
          <w:tab w:val="left" w:pos="4680"/>
        </w:tabs>
        <w:ind w:left="4320" w:hanging="1440"/>
      </w:pPr>
      <w:rPr>
        <w:rFonts w:hint="default"/>
      </w:rPr>
    </w:lvl>
  </w:abstractNum>
  <w:abstractNum w:abstractNumId="1020666562">
    <w:nsid w:val="3CD622C2"/>
    <w:multiLevelType w:val="multilevel"/>
    <w:tmpl w:val="3CD622C2"/>
    <w:lvl w:ilvl="0" w:tentative="1">
      <w:start w:val="1"/>
      <w:numFmt w:val="lowerLetter"/>
      <w:lvlText w:val="%1)"/>
      <w:lvlJc w:val="left"/>
      <w:pPr>
        <w:ind w:left="840" w:hanging="420"/>
      </w:pPr>
    </w:lvl>
    <w:lvl w:ilvl="1" w:tentative="1">
      <w:start w:val="1"/>
      <w:numFmt w:val="lowerLetter"/>
      <w:lvlText w:val="%2)"/>
      <w:lvlJc w:val="left"/>
      <w:pPr>
        <w:ind w:left="1260" w:hanging="420"/>
      </w:pPr>
    </w:lvl>
    <w:lvl w:ilvl="2" w:tentative="1">
      <w:start w:val="1"/>
      <w:numFmt w:val="lowerRoman"/>
      <w:lvlText w:val="%3."/>
      <w:lvlJc w:val="right"/>
      <w:pPr>
        <w:ind w:left="1680" w:hanging="420"/>
      </w:pPr>
    </w:lvl>
    <w:lvl w:ilvl="3" w:tentative="1">
      <w:start w:val="1"/>
      <w:numFmt w:val="decimal"/>
      <w:lvlText w:val="%4."/>
      <w:lvlJc w:val="left"/>
      <w:pPr>
        <w:ind w:left="2100" w:hanging="420"/>
      </w:pPr>
    </w:lvl>
    <w:lvl w:ilvl="4" w:tentative="1">
      <w:start w:val="1"/>
      <w:numFmt w:val="lowerLetter"/>
      <w:lvlText w:val="%5)"/>
      <w:lvlJc w:val="left"/>
      <w:pPr>
        <w:ind w:left="2520" w:hanging="420"/>
      </w:pPr>
    </w:lvl>
    <w:lvl w:ilvl="5" w:tentative="1">
      <w:start w:val="1"/>
      <w:numFmt w:val="lowerRoman"/>
      <w:lvlText w:val="%6."/>
      <w:lvlJc w:val="right"/>
      <w:pPr>
        <w:ind w:left="2940" w:hanging="420"/>
      </w:pPr>
    </w:lvl>
    <w:lvl w:ilvl="6" w:tentative="1">
      <w:start w:val="1"/>
      <w:numFmt w:val="decimal"/>
      <w:lvlText w:val="%7."/>
      <w:lvlJc w:val="left"/>
      <w:pPr>
        <w:ind w:left="3360" w:hanging="420"/>
      </w:pPr>
    </w:lvl>
    <w:lvl w:ilvl="7" w:tentative="1">
      <w:start w:val="1"/>
      <w:numFmt w:val="lowerLetter"/>
      <w:lvlText w:val="%8)"/>
      <w:lvlJc w:val="left"/>
      <w:pPr>
        <w:ind w:left="3780" w:hanging="420"/>
      </w:pPr>
    </w:lvl>
    <w:lvl w:ilvl="8" w:tentative="1">
      <w:start w:val="1"/>
      <w:numFmt w:val="lowerRoman"/>
      <w:lvlText w:val="%9."/>
      <w:lvlJc w:val="right"/>
      <w:pPr>
        <w:ind w:left="4200" w:hanging="420"/>
      </w:pPr>
    </w:lvl>
  </w:abstractNum>
  <w:abstractNum w:abstractNumId="1485465488">
    <w:nsid w:val="588A6790"/>
    <w:multiLevelType w:val="multilevel"/>
    <w:tmpl w:val="588A6790"/>
    <w:lvl w:ilvl="0" w:tentative="1">
      <w:start w:val="1"/>
      <w:numFmt w:val="lowerLetter"/>
      <w:lvlText w:val="%1)"/>
      <w:lvlJc w:val="left"/>
      <w:pPr>
        <w:ind w:left="840" w:hanging="420"/>
      </w:pPr>
    </w:lvl>
    <w:lvl w:ilvl="1" w:tentative="1">
      <w:start w:val="1"/>
      <w:numFmt w:val="lowerLetter"/>
      <w:lvlText w:val="%2)"/>
      <w:lvlJc w:val="left"/>
      <w:pPr>
        <w:ind w:left="1260" w:hanging="420"/>
      </w:pPr>
    </w:lvl>
    <w:lvl w:ilvl="2" w:tentative="1">
      <w:start w:val="1"/>
      <w:numFmt w:val="lowerRoman"/>
      <w:lvlText w:val="%3."/>
      <w:lvlJc w:val="right"/>
      <w:pPr>
        <w:ind w:left="1680" w:hanging="420"/>
      </w:pPr>
    </w:lvl>
    <w:lvl w:ilvl="3" w:tentative="1">
      <w:start w:val="1"/>
      <w:numFmt w:val="decimal"/>
      <w:lvlText w:val="%4."/>
      <w:lvlJc w:val="left"/>
      <w:pPr>
        <w:ind w:left="2100" w:hanging="420"/>
      </w:pPr>
    </w:lvl>
    <w:lvl w:ilvl="4" w:tentative="1">
      <w:start w:val="1"/>
      <w:numFmt w:val="lowerLetter"/>
      <w:lvlText w:val="%5)"/>
      <w:lvlJc w:val="left"/>
      <w:pPr>
        <w:ind w:left="2520" w:hanging="420"/>
      </w:pPr>
    </w:lvl>
    <w:lvl w:ilvl="5" w:tentative="1">
      <w:start w:val="1"/>
      <w:numFmt w:val="lowerRoman"/>
      <w:lvlText w:val="%6."/>
      <w:lvlJc w:val="right"/>
      <w:pPr>
        <w:ind w:left="2940" w:hanging="420"/>
      </w:pPr>
    </w:lvl>
    <w:lvl w:ilvl="6" w:tentative="1">
      <w:start w:val="1"/>
      <w:numFmt w:val="decimal"/>
      <w:lvlText w:val="%7."/>
      <w:lvlJc w:val="left"/>
      <w:pPr>
        <w:ind w:left="3360" w:hanging="420"/>
      </w:pPr>
    </w:lvl>
    <w:lvl w:ilvl="7" w:tentative="1">
      <w:start w:val="1"/>
      <w:numFmt w:val="lowerLetter"/>
      <w:lvlText w:val="%8)"/>
      <w:lvlJc w:val="left"/>
      <w:pPr>
        <w:ind w:left="3780" w:hanging="420"/>
      </w:pPr>
    </w:lvl>
    <w:lvl w:ilvl="8" w:tentative="1">
      <w:start w:val="1"/>
      <w:numFmt w:val="lowerRoman"/>
      <w:lvlText w:val="%9."/>
      <w:lvlJc w:val="right"/>
      <w:pPr>
        <w:ind w:left="4200" w:hanging="420"/>
      </w:pPr>
    </w:lvl>
  </w:abstractNum>
  <w:abstractNum w:abstractNumId="1823232709">
    <w:nsid w:val="6CAC52C5"/>
    <w:multiLevelType w:val="multilevel"/>
    <w:tmpl w:val="6CAC52C5"/>
    <w:lvl w:ilvl="0" w:tentative="1">
      <w:start w:val="1"/>
      <w:numFmt w:val="chineseCountingThousand"/>
      <w:lvlText w:val="%1、"/>
      <w:lvlJc w:val="left"/>
      <w:pPr>
        <w:ind w:left="425" w:hanging="425"/>
      </w:pPr>
      <w:rPr>
        <w:b/>
      </w:rPr>
    </w:lvl>
    <w:lvl w:ilvl="1" w:tentative="1">
      <w:start w:val="1"/>
      <w:numFmt w:val="decimal"/>
      <w:lvlText w:val="%2."/>
      <w:lvlJc w:val="left"/>
      <w:pPr>
        <w:ind w:left="567" w:hanging="567"/>
      </w:pPr>
      <w:rPr>
        <w:b/>
      </w:rPr>
    </w:lvl>
    <w:lvl w:ilvl="2" w:tentative="1">
      <w:start w:val="1"/>
      <w:numFmt w:val="lowerLetter"/>
      <w:lvlText w:val="%3)"/>
      <w:lvlJc w:val="left"/>
      <w:pPr>
        <w:ind w:left="1276" w:hanging="709"/>
      </w:pPr>
      <w:rPr>
        <w:b w:val="0"/>
        <w:color w:val="auto"/>
        <w:lang w:val="en-US"/>
      </w:rPr>
    </w:lvl>
    <w:lvl w:ilvl="3" w:tentative="1">
      <w:start w:val="1"/>
      <w:numFmt w:val="decimal"/>
      <w:lvlText w:val="%1.%2.%3.%4."/>
      <w:lvlJc w:val="left"/>
      <w:pPr>
        <w:ind w:left="1701" w:hanging="851"/>
      </w:pPr>
    </w:lvl>
    <w:lvl w:ilvl="4" w:tentative="1">
      <w:start w:val="1"/>
      <w:numFmt w:val="decimal"/>
      <w:lvlText w:val="%1.%2.%3.%4.%5."/>
      <w:lvlJc w:val="left"/>
      <w:pPr>
        <w:ind w:left="992" w:hanging="992"/>
      </w:pPr>
    </w:lvl>
    <w:lvl w:ilvl="5" w:tentative="1">
      <w:start w:val="1"/>
      <w:numFmt w:val="decimal"/>
      <w:lvlText w:val="%1.%2.%3.%4.%5.%6."/>
      <w:lvlJc w:val="left"/>
      <w:pPr>
        <w:ind w:left="1134" w:hanging="1134"/>
      </w:pPr>
    </w:lvl>
    <w:lvl w:ilvl="6" w:tentative="1">
      <w:start w:val="1"/>
      <w:numFmt w:val="decimal"/>
      <w:lvlText w:val="%1.%2.%3.%4.%5.%6.%7."/>
      <w:lvlJc w:val="left"/>
      <w:pPr>
        <w:ind w:left="1276" w:hanging="1276"/>
      </w:pPr>
    </w:lvl>
    <w:lvl w:ilvl="7" w:tentative="1">
      <w:start w:val="1"/>
      <w:numFmt w:val="decimal"/>
      <w:lvlText w:val="%1.%2.%3.%4.%5.%6.%7.%8."/>
      <w:lvlJc w:val="left"/>
      <w:pPr>
        <w:ind w:left="1418" w:hanging="1418"/>
      </w:pPr>
    </w:lvl>
    <w:lvl w:ilvl="8" w:tentative="1">
      <w:start w:val="1"/>
      <w:numFmt w:val="decimal"/>
      <w:lvlText w:val="%1.%2.%3.%4.%5.%6.%7.%8.%9."/>
      <w:lvlJc w:val="left"/>
      <w:pPr>
        <w:ind w:left="1559" w:hanging="1559"/>
      </w:pPr>
    </w:lvl>
  </w:abstractNum>
  <w:abstractNum w:abstractNumId="1667783923">
    <w:nsid w:val="63685CF3"/>
    <w:multiLevelType w:val="multilevel"/>
    <w:tmpl w:val="63685CF3"/>
    <w:lvl w:ilvl="0" w:tentative="1">
      <w:start w:val="1"/>
      <w:numFmt w:val="lowerLetter"/>
      <w:lvlText w:val="%1)"/>
      <w:lvlJc w:val="left"/>
      <w:pPr>
        <w:ind w:left="840" w:hanging="420"/>
      </w:pPr>
    </w:lvl>
    <w:lvl w:ilvl="1" w:tentative="1">
      <w:start w:val="1"/>
      <w:numFmt w:val="lowerLetter"/>
      <w:lvlText w:val="%2)"/>
      <w:lvlJc w:val="left"/>
      <w:pPr>
        <w:ind w:left="1260" w:hanging="420"/>
      </w:pPr>
    </w:lvl>
    <w:lvl w:ilvl="2" w:tentative="1">
      <w:start w:val="1"/>
      <w:numFmt w:val="lowerRoman"/>
      <w:lvlText w:val="%3."/>
      <w:lvlJc w:val="right"/>
      <w:pPr>
        <w:ind w:left="1680" w:hanging="420"/>
      </w:pPr>
    </w:lvl>
    <w:lvl w:ilvl="3" w:tentative="1">
      <w:start w:val="1"/>
      <w:numFmt w:val="decimal"/>
      <w:lvlText w:val="%4."/>
      <w:lvlJc w:val="left"/>
      <w:pPr>
        <w:ind w:left="2100" w:hanging="420"/>
      </w:pPr>
    </w:lvl>
    <w:lvl w:ilvl="4" w:tentative="1">
      <w:start w:val="1"/>
      <w:numFmt w:val="lowerLetter"/>
      <w:lvlText w:val="%5)"/>
      <w:lvlJc w:val="left"/>
      <w:pPr>
        <w:ind w:left="2520" w:hanging="420"/>
      </w:pPr>
    </w:lvl>
    <w:lvl w:ilvl="5" w:tentative="1">
      <w:start w:val="1"/>
      <w:numFmt w:val="lowerRoman"/>
      <w:lvlText w:val="%6."/>
      <w:lvlJc w:val="right"/>
      <w:pPr>
        <w:ind w:left="2940" w:hanging="420"/>
      </w:pPr>
    </w:lvl>
    <w:lvl w:ilvl="6" w:tentative="1">
      <w:start w:val="1"/>
      <w:numFmt w:val="decimal"/>
      <w:lvlText w:val="%7."/>
      <w:lvlJc w:val="left"/>
      <w:pPr>
        <w:ind w:left="3360" w:hanging="420"/>
      </w:pPr>
    </w:lvl>
    <w:lvl w:ilvl="7" w:tentative="1">
      <w:start w:val="1"/>
      <w:numFmt w:val="lowerLetter"/>
      <w:lvlText w:val="%8)"/>
      <w:lvlJc w:val="left"/>
      <w:pPr>
        <w:ind w:left="3780" w:hanging="420"/>
      </w:pPr>
    </w:lvl>
    <w:lvl w:ilvl="8" w:tentative="1">
      <w:start w:val="1"/>
      <w:numFmt w:val="lowerRoman"/>
      <w:lvlText w:val="%9."/>
      <w:lvlJc w:val="right"/>
      <w:pPr>
        <w:ind w:left="4200" w:hanging="420"/>
      </w:pPr>
    </w:lvl>
  </w:abstractNum>
  <w:abstractNum w:abstractNumId="1879777680">
    <w:nsid w:val="700B2190"/>
    <w:multiLevelType w:val="multilevel"/>
    <w:tmpl w:val="700B2190"/>
    <w:lvl w:ilvl="0" w:tentative="1">
      <w:start w:val="1"/>
      <w:numFmt w:val="lowerLetter"/>
      <w:lvlText w:val="%1)"/>
      <w:lvlJc w:val="left"/>
      <w:pPr>
        <w:ind w:left="840" w:hanging="420"/>
      </w:pPr>
    </w:lvl>
    <w:lvl w:ilvl="1" w:tentative="1">
      <w:start w:val="1"/>
      <w:numFmt w:val="lowerLetter"/>
      <w:lvlText w:val="%2)"/>
      <w:lvlJc w:val="left"/>
      <w:pPr>
        <w:ind w:left="1260" w:hanging="420"/>
      </w:pPr>
    </w:lvl>
    <w:lvl w:ilvl="2" w:tentative="1">
      <w:start w:val="1"/>
      <w:numFmt w:val="lowerRoman"/>
      <w:lvlText w:val="%3."/>
      <w:lvlJc w:val="right"/>
      <w:pPr>
        <w:ind w:left="1680" w:hanging="420"/>
      </w:pPr>
    </w:lvl>
    <w:lvl w:ilvl="3" w:tentative="1">
      <w:start w:val="1"/>
      <w:numFmt w:val="decimal"/>
      <w:lvlText w:val="%4."/>
      <w:lvlJc w:val="left"/>
      <w:pPr>
        <w:ind w:left="2100" w:hanging="420"/>
      </w:pPr>
    </w:lvl>
    <w:lvl w:ilvl="4" w:tentative="1">
      <w:start w:val="1"/>
      <w:numFmt w:val="lowerLetter"/>
      <w:lvlText w:val="%5)"/>
      <w:lvlJc w:val="left"/>
      <w:pPr>
        <w:ind w:left="2520" w:hanging="420"/>
      </w:pPr>
    </w:lvl>
    <w:lvl w:ilvl="5" w:tentative="1">
      <w:start w:val="1"/>
      <w:numFmt w:val="lowerRoman"/>
      <w:lvlText w:val="%6."/>
      <w:lvlJc w:val="right"/>
      <w:pPr>
        <w:ind w:left="2940" w:hanging="420"/>
      </w:pPr>
    </w:lvl>
    <w:lvl w:ilvl="6" w:tentative="1">
      <w:start w:val="1"/>
      <w:numFmt w:val="decimal"/>
      <w:lvlText w:val="%7."/>
      <w:lvlJc w:val="left"/>
      <w:pPr>
        <w:ind w:left="3360" w:hanging="420"/>
      </w:pPr>
    </w:lvl>
    <w:lvl w:ilvl="7" w:tentative="1">
      <w:start w:val="1"/>
      <w:numFmt w:val="lowerLetter"/>
      <w:lvlText w:val="%8)"/>
      <w:lvlJc w:val="left"/>
      <w:pPr>
        <w:ind w:left="3780" w:hanging="420"/>
      </w:pPr>
    </w:lvl>
    <w:lvl w:ilvl="8" w:tentative="1">
      <w:start w:val="1"/>
      <w:numFmt w:val="lowerRoman"/>
      <w:lvlText w:val="%9."/>
      <w:lvlJc w:val="right"/>
      <w:pPr>
        <w:ind w:left="4200" w:hanging="420"/>
      </w:pPr>
    </w:lvl>
  </w:abstractNum>
  <w:abstractNum w:abstractNumId="1949852004">
    <w:nsid w:val="74386164"/>
    <w:multiLevelType w:val="multilevel"/>
    <w:tmpl w:val="74386164"/>
    <w:lvl w:ilvl="0" w:tentative="1">
      <w:start w:val="1"/>
      <w:numFmt w:val="lowerLetter"/>
      <w:lvlText w:val="%1)"/>
      <w:lvlJc w:val="left"/>
      <w:pPr>
        <w:ind w:left="840" w:hanging="420"/>
      </w:pPr>
    </w:lvl>
    <w:lvl w:ilvl="1" w:tentative="1">
      <w:start w:val="1"/>
      <w:numFmt w:val="lowerLetter"/>
      <w:lvlText w:val="%2)"/>
      <w:lvlJc w:val="left"/>
      <w:pPr>
        <w:ind w:left="1260" w:hanging="420"/>
      </w:pPr>
    </w:lvl>
    <w:lvl w:ilvl="2" w:tentative="1">
      <w:start w:val="1"/>
      <w:numFmt w:val="lowerRoman"/>
      <w:lvlText w:val="%3."/>
      <w:lvlJc w:val="right"/>
      <w:pPr>
        <w:ind w:left="1680" w:hanging="420"/>
      </w:pPr>
    </w:lvl>
    <w:lvl w:ilvl="3" w:tentative="1">
      <w:start w:val="1"/>
      <w:numFmt w:val="decimal"/>
      <w:lvlText w:val="%4."/>
      <w:lvlJc w:val="left"/>
      <w:pPr>
        <w:ind w:left="2100" w:hanging="420"/>
      </w:pPr>
    </w:lvl>
    <w:lvl w:ilvl="4" w:tentative="1">
      <w:start w:val="1"/>
      <w:numFmt w:val="lowerLetter"/>
      <w:lvlText w:val="%5)"/>
      <w:lvlJc w:val="left"/>
      <w:pPr>
        <w:ind w:left="2520" w:hanging="420"/>
      </w:pPr>
    </w:lvl>
    <w:lvl w:ilvl="5" w:tentative="1">
      <w:start w:val="1"/>
      <w:numFmt w:val="lowerRoman"/>
      <w:lvlText w:val="%6."/>
      <w:lvlJc w:val="right"/>
      <w:pPr>
        <w:ind w:left="2940" w:hanging="420"/>
      </w:pPr>
    </w:lvl>
    <w:lvl w:ilvl="6" w:tentative="1">
      <w:start w:val="1"/>
      <w:numFmt w:val="decimal"/>
      <w:lvlText w:val="%7."/>
      <w:lvlJc w:val="left"/>
      <w:pPr>
        <w:ind w:left="3360" w:hanging="420"/>
      </w:pPr>
    </w:lvl>
    <w:lvl w:ilvl="7" w:tentative="1">
      <w:start w:val="1"/>
      <w:numFmt w:val="lowerLetter"/>
      <w:lvlText w:val="%8)"/>
      <w:lvlJc w:val="left"/>
      <w:pPr>
        <w:ind w:left="3780" w:hanging="420"/>
      </w:pPr>
    </w:lvl>
    <w:lvl w:ilvl="8" w:tentative="1">
      <w:start w:val="1"/>
      <w:numFmt w:val="lowerRoman"/>
      <w:lvlText w:val="%9."/>
      <w:lvlJc w:val="right"/>
      <w:pPr>
        <w:ind w:left="4200" w:hanging="420"/>
      </w:pPr>
    </w:lvl>
  </w:abstractNum>
  <w:abstractNum w:abstractNumId="1967200629">
    <w:nsid w:val="75411975"/>
    <w:multiLevelType w:val="multilevel"/>
    <w:tmpl w:val="75411975"/>
    <w:lvl w:ilvl="0" w:tentative="1">
      <w:start w:val="1"/>
      <w:numFmt w:val="lowerLetter"/>
      <w:lvlText w:val="%1)"/>
      <w:lvlJc w:val="left"/>
      <w:pPr>
        <w:ind w:left="840" w:hanging="420"/>
      </w:pPr>
    </w:lvl>
    <w:lvl w:ilvl="1" w:tentative="1">
      <w:start w:val="1"/>
      <w:numFmt w:val="lowerLetter"/>
      <w:lvlText w:val="%2)"/>
      <w:lvlJc w:val="left"/>
      <w:pPr>
        <w:ind w:left="1260" w:hanging="420"/>
      </w:pPr>
    </w:lvl>
    <w:lvl w:ilvl="2" w:tentative="1">
      <w:start w:val="1"/>
      <w:numFmt w:val="lowerRoman"/>
      <w:lvlText w:val="%3."/>
      <w:lvlJc w:val="right"/>
      <w:pPr>
        <w:ind w:left="1680" w:hanging="420"/>
      </w:pPr>
    </w:lvl>
    <w:lvl w:ilvl="3" w:tentative="1">
      <w:start w:val="1"/>
      <w:numFmt w:val="decimal"/>
      <w:lvlText w:val="%4."/>
      <w:lvlJc w:val="left"/>
      <w:pPr>
        <w:ind w:left="2100" w:hanging="420"/>
      </w:pPr>
    </w:lvl>
    <w:lvl w:ilvl="4" w:tentative="1">
      <w:start w:val="1"/>
      <w:numFmt w:val="lowerLetter"/>
      <w:lvlText w:val="%5)"/>
      <w:lvlJc w:val="left"/>
      <w:pPr>
        <w:ind w:left="2520" w:hanging="420"/>
      </w:pPr>
    </w:lvl>
    <w:lvl w:ilvl="5" w:tentative="1">
      <w:start w:val="1"/>
      <w:numFmt w:val="lowerRoman"/>
      <w:lvlText w:val="%6."/>
      <w:lvlJc w:val="right"/>
      <w:pPr>
        <w:ind w:left="2940" w:hanging="420"/>
      </w:pPr>
    </w:lvl>
    <w:lvl w:ilvl="6" w:tentative="1">
      <w:start w:val="1"/>
      <w:numFmt w:val="decimal"/>
      <w:lvlText w:val="%7."/>
      <w:lvlJc w:val="left"/>
      <w:pPr>
        <w:ind w:left="3360" w:hanging="420"/>
      </w:pPr>
    </w:lvl>
    <w:lvl w:ilvl="7" w:tentative="1">
      <w:start w:val="1"/>
      <w:numFmt w:val="lowerLetter"/>
      <w:lvlText w:val="%8)"/>
      <w:lvlJc w:val="left"/>
      <w:pPr>
        <w:ind w:left="3780" w:hanging="420"/>
      </w:pPr>
    </w:lvl>
    <w:lvl w:ilvl="8" w:tentative="1">
      <w:start w:val="1"/>
      <w:numFmt w:val="lowerRoman"/>
      <w:lvlText w:val="%9."/>
      <w:lvlJc w:val="right"/>
      <w:pPr>
        <w:ind w:left="4200" w:hanging="420"/>
      </w:pPr>
    </w:lvl>
  </w:abstractNum>
  <w:num w:numId="1">
    <w:abstractNumId w:val="1579823317"/>
  </w:num>
  <w:num w:numId="2">
    <w:abstractNumId w:val="205223391"/>
  </w:num>
  <w:num w:numId="3">
    <w:abstractNumId w:val="853416757"/>
  </w:num>
  <w:num w:numId="4">
    <w:abstractNumId w:val="1823232709"/>
  </w:num>
  <w:num w:numId="5">
    <w:abstractNumId w:val="31808186"/>
  </w:num>
  <w:num w:numId="6">
    <w:abstractNumId w:val="1020666562"/>
  </w:num>
  <w:num w:numId="7">
    <w:abstractNumId w:val="1485465488"/>
  </w:num>
  <w:num w:numId="8">
    <w:abstractNumId w:val="82266705"/>
  </w:num>
  <w:num w:numId="9">
    <w:abstractNumId w:val="1667783923"/>
  </w:num>
  <w:num w:numId="10">
    <w:abstractNumId w:val="1879777680"/>
  </w:num>
  <w:num w:numId="11">
    <w:abstractNumId w:val="1949852004"/>
  </w:num>
  <w:num w:numId="12">
    <w:abstractNumId w:val="703016020"/>
  </w:num>
  <w:num w:numId="13">
    <w:abstractNumId w:val="196720062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val="1"/>
  <w:bordersDoNotSurroundFooter w:val="1"/>
  <w:documentProtection w:enforcement="0"/>
  <w:defaultTabStop w:val="420"/>
  <w:drawingGridVerticalSpacing w:val="156"/>
  <w:displayHorizontalDrawingGridEvery w:val="1"/>
  <w:displayVerticalDrawingGridEvery w:val="1"/>
  <w:noPunctuationKerning w:val="1"/>
  <w:characterSpacingControl w:val="compressPunctuation"/>
  <w:compat>
    <w:spaceForUL/>
    <w:balanceSingleByteDoubleByteWidth/>
    <w:doNotLeaveBackslashAlone/>
    <w:ulTrailSpace/>
    <w:doNotExpandShiftReturn/>
    <w:adjustLineHeightInTable/>
    <w:doNotWrapTextWithPunct/>
    <w:doNotUseEastAsianBreakRules/>
    <w:useFELayout/>
    <w:useNormalStyleForList/>
    <w:doNotUseIndentAsNumberingTabStop/>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uiCompat97To2003/>
  <w:shapeDefaults>
    <o:shapedefaults fillcolor="#9CBEE0" fill="t" stroke="t">
      <v:fill type="gradient" on="t" color2="#BBD5F0" focus="0%" focussize="0f,0f" focusposition="0f,0f">
        <o:fill type="gradientUnscaled" v:ext="backwardCompatible"/>
      </v:fill>
      <v:stroke weight="1.25pt" color="#739CC3" color2="#FFFFFF" miterlimit="2"/>
    </o:shapedefaults>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mc:Ignorable="w14">
  <w:docDefaults>
    <w:rPrDefault>
      <w:rPr>
        <w:rFonts w:ascii="Times New Roman" w:hAnsi="Times New Roman" w:eastAsia="宋体" w:cs="Times New Roman"/>
        <w:lang w:val="en-US" w:eastAsia="zh-CN" w:bidi="ar-SA"/>
      </w:rPr>
    </w:rPrDefault>
  </w:docDefaults>
  <w:latentStyles w:count="156"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99" w:semiHidden="0" w:name="heading 4"/>
    <w:lsdException w:qFormat="1" w:unhideWhenUsed="0" w:uiPriority="99" w:semiHidden="0" w:name="heading 5"/>
    <w:lsdException w:qFormat="1" w:unhideWhenUsed="0" w:uiPriority="99" w:semiHidden="0" w:name="heading 6"/>
    <w:lsdException w:qFormat="1" w:unhideWhenUsed="0" w:uiPriority="99" w:semiHidden="0" w:name="heading 7"/>
    <w:lsdException w:qFormat="1" w:unhideWhenUsed="0" w:uiPriority="99" w:semiHidden="0" w:name="heading 8"/>
    <w:lsdException w:qFormat="1" w:unhideWhenUsed="0" w:uiPriority="99" w:semiHidden="0"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qFormat="1" w:uiPriority="99" w:name="Normal Indent"/>
    <w:lsdException w:uiPriority="99" w:name="footnote text"/>
    <w:lsdException w:qFormat="1" w:unhideWhenUsed="0" w:uiPriority="0" w:semiHidden="0"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qFormat="1" w:unhideWhenUsed="0" w:uiPriority="0" w:semiHidden="0"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annotation subject"/>
    <w:lsdException w:qFormat="1" w:uiPriority="99" w:name="Balloon Text"/>
  </w:latentStyles>
  <w:style w:type="paragraph" w:default="1" w:styleId="1">
    <w:name w:val="Normal"/>
    <w:qFormat/>
    <w:uiPriority w:val="0"/>
    <w:pPr>
      <w:widowControl w:val="0"/>
      <w:jc w:val="both"/>
    </w:pPr>
    <w:rPr>
      <w:rFonts w:ascii="Times New Roman" w:hAnsi="Times New Roman" w:eastAsia="宋体" w:cs="Times New Roman"/>
      <w:kern w:val="2"/>
      <w:sz w:val="21"/>
      <w:szCs w:val="24"/>
      <w:lang w:val="en-US" w:eastAsia="zh-CN" w:bidi="ar-SA"/>
    </w:rPr>
  </w:style>
  <w:style w:type="paragraph" w:styleId="2">
    <w:name w:val="heading 1"/>
    <w:basedOn w:val="1"/>
    <w:next w:val="1"/>
    <w:link w:val="30"/>
    <w:qFormat/>
    <w:uiPriority w:val="0"/>
    <w:pPr>
      <w:keepNext/>
      <w:keepLines/>
      <w:numPr>
        <w:ilvl w:val="0"/>
        <w:numId w:val="1"/>
      </w:numPr>
      <w:spacing w:before="340" w:after="330" w:line="578" w:lineRule="auto"/>
      <w:outlineLvl w:val="0"/>
    </w:pPr>
    <w:rPr>
      <w:b/>
      <w:kern w:val="44"/>
      <w:sz w:val="44"/>
      <w:szCs w:val="20"/>
    </w:rPr>
  </w:style>
  <w:style w:type="paragraph" w:styleId="3">
    <w:name w:val="heading 2"/>
    <w:basedOn w:val="1"/>
    <w:next w:val="4"/>
    <w:link w:val="31"/>
    <w:qFormat/>
    <w:uiPriority w:val="0"/>
    <w:pPr>
      <w:keepNext/>
      <w:keepLines/>
      <w:numPr>
        <w:ilvl w:val="1"/>
        <w:numId w:val="1"/>
      </w:numPr>
      <w:tabs>
        <w:tab w:val="left" w:pos="1800"/>
      </w:tabs>
      <w:spacing w:before="260" w:after="260" w:line="416" w:lineRule="auto"/>
      <w:outlineLvl w:val="1"/>
    </w:pPr>
    <w:rPr>
      <w:rFonts w:ascii="Arial" w:hAnsi="Arial" w:eastAsia="黑体"/>
      <w:b/>
      <w:sz w:val="32"/>
      <w:szCs w:val="20"/>
    </w:rPr>
  </w:style>
  <w:style w:type="paragraph" w:styleId="5">
    <w:name w:val="heading 3"/>
    <w:basedOn w:val="1"/>
    <w:next w:val="4"/>
    <w:link w:val="32"/>
    <w:qFormat/>
    <w:uiPriority w:val="0"/>
    <w:pPr>
      <w:keepNext/>
      <w:keepLines/>
      <w:numPr>
        <w:ilvl w:val="2"/>
        <w:numId w:val="1"/>
      </w:numPr>
      <w:tabs>
        <w:tab w:val="left" w:pos="1800"/>
      </w:tabs>
      <w:spacing w:before="260" w:after="260" w:line="416" w:lineRule="auto"/>
      <w:outlineLvl w:val="2"/>
    </w:pPr>
    <w:rPr>
      <w:b/>
      <w:sz w:val="32"/>
      <w:szCs w:val="20"/>
    </w:rPr>
  </w:style>
  <w:style w:type="paragraph" w:styleId="6">
    <w:name w:val="heading 4"/>
    <w:basedOn w:val="1"/>
    <w:next w:val="4"/>
    <w:link w:val="33"/>
    <w:qFormat/>
    <w:uiPriority w:val="99"/>
    <w:pPr>
      <w:keepNext/>
      <w:keepLines/>
      <w:numPr>
        <w:ilvl w:val="3"/>
        <w:numId w:val="1"/>
      </w:numPr>
      <w:tabs>
        <w:tab w:val="left" w:pos="1800"/>
      </w:tabs>
      <w:spacing w:before="280" w:after="290" w:line="376" w:lineRule="auto"/>
      <w:outlineLvl w:val="3"/>
    </w:pPr>
    <w:rPr>
      <w:rFonts w:ascii="Arial" w:hAnsi="Arial" w:eastAsia="黑体"/>
      <w:b/>
      <w:sz w:val="28"/>
      <w:szCs w:val="20"/>
    </w:rPr>
  </w:style>
  <w:style w:type="paragraph" w:styleId="7">
    <w:name w:val="heading 5"/>
    <w:basedOn w:val="1"/>
    <w:next w:val="4"/>
    <w:link w:val="34"/>
    <w:qFormat/>
    <w:uiPriority w:val="99"/>
    <w:pPr>
      <w:keepNext/>
      <w:keepLines/>
      <w:numPr>
        <w:ilvl w:val="4"/>
        <w:numId w:val="1"/>
      </w:numPr>
      <w:tabs>
        <w:tab w:val="left" w:pos="1800"/>
      </w:tabs>
      <w:spacing w:before="280" w:after="290" w:line="376" w:lineRule="auto"/>
      <w:outlineLvl w:val="4"/>
    </w:pPr>
    <w:rPr>
      <w:b/>
      <w:sz w:val="28"/>
      <w:szCs w:val="20"/>
    </w:rPr>
  </w:style>
  <w:style w:type="paragraph" w:styleId="8">
    <w:name w:val="heading 6"/>
    <w:basedOn w:val="1"/>
    <w:next w:val="4"/>
    <w:link w:val="35"/>
    <w:qFormat/>
    <w:uiPriority w:val="99"/>
    <w:pPr>
      <w:keepNext/>
      <w:keepLines/>
      <w:numPr>
        <w:ilvl w:val="5"/>
        <w:numId w:val="1"/>
      </w:numPr>
      <w:tabs>
        <w:tab w:val="left" w:pos="1800"/>
      </w:tabs>
      <w:spacing w:before="240" w:after="64" w:line="320" w:lineRule="auto"/>
      <w:outlineLvl w:val="5"/>
    </w:pPr>
    <w:rPr>
      <w:rFonts w:ascii="Arial" w:hAnsi="Arial" w:eastAsia="黑体"/>
      <w:b/>
      <w:sz w:val="24"/>
      <w:szCs w:val="20"/>
    </w:rPr>
  </w:style>
  <w:style w:type="paragraph" w:styleId="9">
    <w:name w:val="heading 7"/>
    <w:basedOn w:val="1"/>
    <w:next w:val="4"/>
    <w:link w:val="36"/>
    <w:qFormat/>
    <w:uiPriority w:val="99"/>
    <w:pPr>
      <w:keepNext/>
      <w:keepLines/>
      <w:numPr>
        <w:ilvl w:val="6"/>
        <w:numId w:val="1"/>
      </w:numPr>
      <w:tabs>
        <w:tab w:val="left" w:pos="1800"/>
      </w:tabs>
      <w:spacing w:before="240" w:after="64" w:line="320" w:lineRule="auto"/>
      <w:outlineLvl w:val="6"/>
    </w:pPr>
    <w:rPr>
      <w:b/>
      <w:sz w:val="24"/>
      <w:szCs w:val="20"/>
    </w:rPr>
  </w:style>
  <w:style w:type="paragraph" w:styleId="10">
    <w:name w:val="heading 8"/>
    <w:basedOn w:val="1"/>
    <w:next w:val="4"/>
    <w:link w:val="37"/>
    <w:qFormat/>
    <w:uiPriority w:val="99"/>
    <w:pPr>
      <w:keepNext/>
      <w:keepLines/>
      <w:numPr>
        <w:ilvl w:val="7"/>
        <w:numId w:val="1"/>
      </w:numPr>
      <w:tabs>
        <w:tab w:val="left" w:pos="1800"/>
      </w:tabs>
      <w:spacing w:before="240" w:after="64" w:line="320" w:lineRule="auto"/>
      <w:outlineLvl w:val="7"/>
    </w:pPr>
    <w:rPr>
      <w:rFonts w:ascii="Arial" w:hAnsi="Arial" w:eastAsia="黑体"/>
      <w:sz w:val="24"/>
      <w:szCs w:val="20"/>
    </w:rPr>
  </w:style>
  <w:style w:type="paragraph" w:styleId="11">
    <w:name w:val="heading 9"/>
    <w:basedOn w:val="1"/>
    <w:next w:val="4"/>
    <w:link w:val="38"/>
    <w:qFormat/>
    <w:uiPriority w:val="99"/>
    <w:pPr>
      <w:keepNext/>
      <w:keepLines/>
      <w:numPr>
        <w:ilvl w:val="8"/>
        <w:numId w:val="1"/>
      </w:numPr>
      <w:tabs>
        <w:tab w:val="left" w:pos="1800"/>
      </w:tabs>
      <w:spacing w:before="240" w:after="64" w:line="320" w:lineRule="auto"/>
      <w:outlineLvl w:val="8"/>
    </w:pPr>
    <w:rPr>
      <w:rFonts w:ascii="Arial" w:hAnsi="Arial" w:eastAsia="黑体"/>
      <w:szCs w:val="20"/>
    </w:rPr>
  </w:style>
  <w:style w:type="character" w:default="1" w:styleId="19">
    <w:name w:val="Default Paragraph Font"/>
    <w:semiHidden/>
    <w:unhideWhenUsed/>
    <w:uiPriority w:val="1"/>
  </w:style>
  <w:style w:type="paragraph" w:styleId="4">
    <w:name w:val="Normal Indent"/>
    <w:basedOn w:val="1"/>
    <w:semiHidden/>
    <w:unhideWhenUsed/>
    <w:qFormat/>
    <w:uiPriority w:val="99"/>
    <w:pPr>
      <w:ind w:firstLine="420" w:firstLineChars="200"/>
    </w:pPr>
  </w:style>
  <w:style w:type="paragraph" w:styleId="12">
    <w:name w:val="annotation subject"/>
    <w:basedOn w:val="13"/>
    <w:next w:val="13"/>
    <w:link w:val="43"/>
    <w:semiHidden/>
    <w:unhideWhenUsed/>
    <w:qFormat/>
    <w:uiPriority w:val="99"/>
    <w:rPr>
      <w:rFonts w:ascii="Times New Roman" w:hAnsi="Times New Roman" w:eastAsia="宋体" w:cs="Times New Roman"/>
      <w:b/>
      <w:bCs/>
    </w:rPr>
  </w:style>
  <w:style w:type="paragraph" w:styleId="13">
    <w:name w:val="annotation text"/>
    <w:basedOn w:val="1"/>
    <w:link w:val="41"/>
    <w:qFormat/>
    <w:uiPriority w:val="0"/>
    <w:pPr>
      <w:jc w:val="left"/>
    </w:pPr>
    <w:rPr>
      <w:rFonts w:ascii="Calibri" w:hAnsi="Calibri" w:eastAsia="宋体" w:cs="黑体"/>
    </w:rPr>
  </w:style>
  <w:style w:type="paragraph" w:styleId="14">
    <w:name w:val="Plain Text"/>
    <w:basedOn w:val="1"/>
    <w:link w:val="40"/>
    <w:qFormat/>
    <w:uiPriority w:val="0"/>
    <w:rPr>
      <w:rFonts w:ascii="宋体" w:hAnsi="Courier New" w:cs="金山简魏碑"/>
      <w:szCs w:val="21"/>
    </w:rPr>
  </w:style>
  <w:style w:type="paragraph" w:styleId="15">
    <w:name w:val="Balloon Text"/>
    <w:basedOn w:val="1"/>
    <w:link w:val="39"/>
    <w:semiHidden/>
    <w:unhideWhenUsed/>
    <w:qFormat/>
    <w:uiPriority w:val="99"/>
    <w:rPr>
      <w:sz w:val="18"/>
      <w:szCs w:val="18"/>
    </w:rPr>
  </w:style>
  <w:style w:type="paragraph" w:styleId="16">
    <w:name w:val="footer"/>
    <w:basedOn w:val="1"/>
    <w:link w:val="45"/>
    <w:unhideWhenUsed/>
    <w:qFormat/>
    <w:uiPriority w:val="99"/>
    <w:pPr>
      <w:tabs>
        <w:tab w:val="center" w:pos="4153"/>
        <w:tab w:val="right" w:pos="8306"/>
      </w:tabs>
      <w:snapToGrid w:val="0"/>
      <w:jc w:val="left"/>
    </w:pPr>
    <w:rPr>
      <w:sz w:val="18"/>
      <w:szCs w:val="18"/>
    </w:rPr>
  </w:style>
  <w:style w:type="paragraph" w:styleId="17">
    <w:name w:val="header"/>
    <w:basedOn w:val="1"/>
    <w:link w:val="44"/>
    <w:unhideWhenUsed/>
    <w:qFormat/>
    <w:uiPriority w:val="99"/>
    <w:pPr>
      <w:pBdr>
        <w:bottom w:val="single" w:color="auto" w:sz="6" w:space="1"/>
      </w:pBdr>
      <w:tabs>
        <w:tab w:val="center" w:pos="4153"/>
        <w:tab w:val="right" w:pos="8306"/>
      </w:tabs>
      <w:snapToGrid w:val="0"/>
      <w:jc w:val="center"/>
    </w:pPr>
    <w:rPr>
      <w:sz w:val="18"/>
      <w:szCs w:val="18"/>
    </w:rPr>
  </w:style>
  <w:style w:type="paragraph" w:styleId="18">
    <w:name w:val="toc 1"/>
    <w:basedOn w:val="1"/>
    <w:next w:val="1"/>
    <w:semiHidden/>
    <w:unhideWhenUsed/>
    <w:qFormat/>
    <w:uiPriority w:val="39"/>
  </w:style>
  <w:style w:type="character" w:styleId="20">
    <w:name w:val="Strong"/>
    <w:basedOn w:val="19"/>
    <w:qFormat/>
    <w:uiPriority w:val="22"/>
    <w:rPr>
      <w:b/>
    </w:rPr>
  </w:style>
  <w:style w:type="character" w:styleId="21">
    <w:name w:val="annotation reference"/>
    <w:qFormat/>
    <w:uiPriority w:val="0"/>
    <w:rPr>
      <w:sz w:val="21"/>
      <w:szCs w:val="21"/>
    </w:rPr>
  </w:style>
  <w:style w:type="paragraph" w:customStyle="1" w:styleId="22">
    <w:name w:val="List Paragraph"/>
    <w:basedOn w:val="1"/>
    <w:qFormat/>
    <w:uiPriority w:val="99"/>
    <w:pPr>
      <w:ind w:firstLine="420" w:firstLineChars="200"/>
    </w:pPr>
  </w:style>
  <w:style w:type="paragraph" w:customStyle="1" w:styleId="23">
    <w:name w:val="WPSOffice手动目录 1"/>
    <w:qFormat/>
    <w:uiPriority w:val="0"/>
    <w:rPr>
      <w:rFonts w:ascii="Calibri" w:hAnsi="Calibri" w:eastAsia="宋体" w:cs="黑体"/>
      <w:lang w:val="en-US" w:eastAsia="zh-CN" w:bidi="ar-SA"/>
    </w:rPr>
  </w:style>
  <w:style w:type="paragraph" w:customStyle="1" w:styleId="24">
    <w:name w:val="WPSOffice手动目录 2"/>
    <w:qFormat/>
    <w:uiPriority w:val="0"/>
    <w:pPr>
      <w:ind w:left="200" w:leftChars="200"/>
    </w:pPr>
    <w:rPr>
      <w:rFonts w:ascii="Calibri" w:hAnsi="Calibri" w:eastAsia="宋体" w:cs="黑体"/>
      <w:lang w:val="en-US" w:eastAsia="zh-CN" w:bidi="ar-SA"/>
    </w:rPr>
  </w:style>
  <w:style w:type="paragraph" w:customStyle="1" w:styleId="25">
    <w:name w:val="样式2"/>
    <w:basedOn w:val="1"/>
    <w:qFormat/>
    <w:uiPriority w:val="0"/>
    <w:pPr>
      <w:numPr>
        <w:ilvl w:val="2"/>
        <w:numId w:val="2"/>
      </w:numPr>
      <w:wordWrap w:val="0"/>
      <w:topLinePunct w:val="1"/>
      <w:adjustRightInd w:val="0"/>
      <w:snapToGrid w:val="0"/>
      <w:spacing w:beforeLines="50" w:line="240" w:lineRule="atLeast"/>
      <w:jc w:val="left"/>
      <w:textAlignment w:val="center"/>
      <w:outlineLvl w:val="1"/>
    </w:pPr>
    <w:rPr>
      <w:rFonts w:ascii="宋体" w:hAnsi="宋体"/>
      <w:b/>
      <w:sz w:val="24"/>
    </w:rPr>
  </w:style>
  <w:style w:type="paragraph" w:customStyle="1" w:styleId="26">
    <w:name w:val="Table Paragraph"/>
    <w:basedOn w:val="1"/>
    <w:qFormat/>
    <w:uiPriority w:val="1"/>
    <w:pPr>
      <w:autoSpaceDE w:val="0"/>
      <w:autoSpaceDN w:val="0"/>
      <w:jc w:val="left"/>
    </w:pPr>
    <w:rPr>
      <w:rFonts w:ascii="宋体" w:hAnsi="宋体" w:cs="宋体"/>
      <w:kern w:val="0"/>
      <w:sz w:val="22"/>
      <w:szCs w:val="22"/>
      <w:lang w:val="zh-CN" w:bidi="zh-CN"/>
    </w:rPr>
  </w:style>
  <w:style w:type="paragraph" w:customStyle="1" w:styleId="27">
    <w:name w:val="列出段落11"/>
    <w:basedOn w:val="1"/>
    <w:qFormat/>
    <w:uiPriority w:val="0"/>
    <w:pPr>
      <w:ind w:firstLine="420" w:firstLineChars="200"/>
    </w:pPr>
    <w:rPr>
      <w:szCs w:val="20"/>
    </w:rPr>
  </w:style>
  <w:style w:type="paragraph" w:customStyle="1" w:styleId="28">
    <w:name w:val="Para---"/>
    <w:qFormat/>
    <w:uiPriority w:val="0"/>
    <w:pPr>
      <w:keepNext/>
      <w:numPr>
        <w:ilvl w:val="2"/>
        <w:numId w:val="3"/>
      </w:numPr>
      <w:tabs>
        <w:tab w:val="left" w:pos="501"/>
        <w:tab w:val="left" w:pos="2304"/>
        <w:tab w:val="left" w:pos="2880"/>
        <w:tab w:val="left" w:pos="3456"/>
        <w:tab w:val="left" w:pos="4032"/>
        <w:tab w:val="left" w:pos="4608"/>
        <w:tab w:val="left" w:pos="5184"/>
        <w:tab w:val="left" w:pos="5760"/>
        <w:tab w:val="left" w:pos="6336"/>
        <w:tab w:val="left" w:pos="6912"/>
        <w:tab w:val="left" w:pos="7488"/>
        <w:tab w:val="left" w:pos="8064"/>
      </w:tabs>
      <w:autoSpaceDE w:val="0"/>
      <w:autoSpaceDN w:val="0"/>
      <w:adjustRightInd w:val="0"/>
      <w:spacing w:before="100" w:beforeAutospacing="1" w:after="14" w:line="220" w:lineRule="atLeast"/>
    </w:pPr>
    <w:rPr>
      <w:rFonts w:ascii="Arial" w:hAnsi="Arial" w:eastAsia="宋体" w:cs="Times New Roman"/>
      <w:lang w:val="en-US" w:eastAsia="en-US" w:bidi="ar-SA"/>
    </w:rPr>
  </w:style>
  <w:style w:type="paragraph" w:customStyle="1" w:styleId="29">
    <w:name w:val="Para-"/>
    <w:qFormat/>
    <w:uiPriority w:val="0"/>
    <w:pPr>
      <w:keepNext/>
      <w:numPr>
        <w:ilvl w:val="0"/>
        <w:numId w:val="3"/>
      </w:numPr>
      <w:tabs>
        <w:tab w:val="left" w:pos="1152"/>
        <w:tab w:val="left" w:pos="1728"/>
        <w:tab w:val="left" w:pos="2304"/>
        <w:tab w:val="left" w:pos="2880"/>
        <w:tab w:val="left" w:pos="3456"/>
        <w:tab w:val="left" w:pos="4032"/>
        <w:tab w:val="left" w:pos="4608"/>
        <w:tab w:val="left" w:pos="5184"/>
        <w:tab w:val="left" w:pos="5760"/>
        <w:tab w:val="left" w:pos="6336"/>
        <w:tab w:val="left" w:pos="6912"/>
        <w:tab w:val="left" w:pos="7488"/>
        <w:tab w:val="left" w:pos="8064"/>
      </w:tabs>
      <w:autoSpaceDE w:val="0"/>
      <w:autoSpaceDN w:val="0"/>
      <w:adjustRightInd w:val="0"/>
      <w:spacing w:before="100" w:beforeAutospacing="1" w:after="14" w:line="220" w:lineRule="atLeast"/>
    </w:pPr>
    <w:rPr>
      <w:rFonts w:ascii="Arial" w:hAnsi="Arial" w:eastAsia="宋体" w:cs="Times New Roman"/>
      <w:lang w:val="en-US" w:eastAsia="en-US" w:bidi="ar-SA"/>
    </w:rPr>
  </w:style>
  <w:style w:type="character" w:customStyle="1" w:styleId="30">
    <w:name w:val="标题 1 字符"/>
    <w:basedOn w:val="19"/>
    <w:link w:val="2"/>
    <w:qFormat/>
    <w:uiPriority w:val="0"/>
    <w:rPr>
      <w:rFonts w:ascii="Times New Roman" w:hAnsi="Times New Roman" w:eastAsia="宋体" w:cs="Times New Roman"/>
      <w:b/>
      <w:kern w:val="44"/>
      <w:sz w:val="44"/>
      <w:szCs w:val="20"/>
    </w:rPr>
  </w:style>
  <w:style w:type="character" w:customStyle="1" w:styleId="31">
    <w:name w:val="标题 2 字符"/>
    <w:basedOn w:val="19"/>
    <w:link w:val="3"/>
    <w:qFormat/>
    <w:uiPriority w:val="0"/>
    <w:rPr>
      <w:rFonts w:ascii="Arial" w:hAnsi="Arial" w:eastAsia="黑体" w:cs="Times New Roman"/>
      <w:b/>
      <w:sz w:val="32"/>
      <w:szCs w:val="20"/>
    </w:rPr>
  </w:style>
  <w:style w:type="character" w:customStyle="1" w:styleId="32">
    <w:name w:val="标题 3 字符"/>
    <w:basedOn w:val="19"/>
    <w:link w:val="5"/>
    <w:qFormat/>
    <w:uiPriority w:val="0"/>
    <w:rPr>
      <w:rFonts w:ascii="Times New Roman" w:hAnsi="Times New Roman" w:eastAsia="宋体" w:cs="Times New Roman"/>
      <w:b/>
      <w:sz w:val="32"/>
      <w:szCs w:val="20"/>
    </w:rPr>
  </w:style>
  <w:style w:type="character" w:customStyle="1" w:styleId="33">
    <w:name w:val="标题 4 字符"/>
    <w:basedOn w:val="19"/>
    <w:link w:val="6"/>
    <w:qFormat/>
    <w:uiPriority w:val="99"/>
    <w:rPr>
      <w:rFonts w:ascii="Arial" w:hAnsi="Arial" w:eastAsia="黑体" w:cs="Times New Roman"/>
      <w:b/>
      <w:sz w:val="28"/>
      <w:szCs w:val="20"/>
    </w:rPr>
  </w:style>
  <w:style w:type="character" w:customStyle="1" w:styleId="34">
    <w:name w:val="标题 5 字符"/>
    <w:basedOn w:val="19"/>
    <w:link w:val="7"/>
    <w:qFormat/>
    <w:uiPriority w:val="99"/>
    <w:rPr>
      <w:rFonts w:ascii="Times New Roman" w:hAnsi="Times New Roman" w:eastAsia="宋体" w:cs="Times New Roman"/>
      <w:b/>
      <w:sz w:val="28"/>
      <w:szCs w:val="20"/>
    </w:rPr>
  </w:style>
  <w:style w:type="character" w:customStyle="1" w:styleId="35">
    <w:name w:val="标题 6 字符"/>
    <w:basedOn w:val="19"/>
    <w:link w:val="8"/>
    <w:qFormat/>
    <w:uiPriority w:val="99"/>
    <w:rPr>
      <w:rFonts w:ascii="Arial" w:hAnsi="Arial" w:eastAsia="黑体" w:cs="Times New Roman"/>
      <w:b/>
      <w:sz w:val="24"/>
      <w:szCs w:val="20"/>
    </w:rPr>
  </w:style>
  <w:style w:type="character" w:customStyle="1" w:styleId="36">
    <w:name w:val="标题 7 字符"/>
    <w:basedOn w:val="19"/>
    <w:link w:val="9"/>
    <w:qFormat/>
    <w:uiPriority w:val="99"/>
    <w:rPr>
      <w:rFonts w:ascii="Times New Roman" w:hAnsi="Times New Roman" w:eastAsia="宋体" w:cs="Times New Roman"/>
      <w:b/>
      <w:sz w:val="24"/>
      <w:szCs w:val="20"/>
    </w:rPr>
  </w:style>
  <w:style w:type="character" w:customStyle="1" w:styleId="37">
    <w:name w:val="标题 8 字符"/>
    <w:basedOn w:val="19"/>
    <w:link w:val="10"/>
    <w:qFormat/>
    <w:uiPriority w:val="99"/>
    <w:rPr>
      <w:rFonts w:ascii="Arial" w:hAnsi="Arial" w:eastAsia="黑体" w:cs="Times New Roman"/>
      <w:sz w:val="24"/>
      <w:szCs w:val="20"/>
    </w:rPr>
  </w:style>
  <w:style w:type="character" w:customStyle="1" w:styleId="38">
    <w:name w:val="标题 9 字符"/>
    <w:basedOn w:val="19"/>
    <w:link w:val="11"/>
    <w:qFormat/>
    <w:uiPriority w:val="99"/>
    <w:rPr>
      <w:rFonts w:ascii="Arial" w:hAnsi="Arial" w:eastAsia="黑体" w:cs="Times New Roman"/>
      <w:szCs w:val="20"/>
    </w:rPr>
  </w:style>
  <w:style w:type="character" w:customStyle="1" w:styleId="39">
    <w:name w:val="批注框文本 字符"/>
    <w:basedOn w:val="19"/>
    <w:link w:val="15"/>
    <w:semiHidden/>
    <w:qFormat/>
    <w:uiPriority w:val="99"/>
    <w:rPr>
      <w:rFonts w:ascii="Times New Roman" w:hAnsi="Times New Roman" w:eastAsia="宋体" w:cs="Times New Roman"/>
      <w:sz w:val="18"/>
      <w:szCs w:val="18"/>
    </w:rPr>
  </w:style>
  <w:style w:type="character" w:customStyle="1" w:styleId="40">
    <w:name w:val="纯文本 字符"/>
    <w:basedOn w:val="19"/>
    <w:link w:val="14"/>
    <w:qFormat/>
    <w:uiPriority w:val="0"/>
    <w:rPr>
      <w:rFonts w:ascii="宋体" w:hAnsi="Courier New" w:eastAsia="宋体" w:cs="金山简魏碑"/>
      <w:szCs w:val="21"/>
    </w:rPr>
  </w:style>
  <w:style w:type="character" w:customStyle="1" w:styleId="41">
    <w:name w:val="批注文字 字符"/>
    <w:link w:val="13"/>
    <w:qFormat/>
    <w:uiPriority w:val="0"/>
    <w:rPr>
      <w:szCs w:val="24"/>
    </w:rPr>
  </w:style>
  <w:style w:type="character" w:customStyle="1" w:styleId="42">
    <w:name w:val="批注文字 Char1"/>
    <w:basedOn w:val="19"/>
    <w:semiHidden/>
    <w:qFormat/>
    <w:uiPriority w:val="99"/>
    <w:rPr>
      <w:rFonts w:ascii="Times New Roman" w:hAnsi="Times New Roman" w:eastAsia="宋体" w:cs="Times New Roman"/>
      <w:szCs w:val="24"/>
    </w:rPr>
  </w:style>
  <w:style w:type="character" w:customStyle="1" w:styleId="43">
    <w:name w:val="批注主题 字符"/>
    <w:basedOn w:val="41"/>
    <w:link w:val="12"/>
    <w:semiHidden/>
    <w:qFormat/>
    <w:uiPriority w:val="99"/>
    <w:rPr>
      <w:rFonts w:ascii="Times New Roman" w:hAnsi="Times New Roman" w:eastAsia="宋体" w:cs="Times New Roman"/>
      <w:b/>
      <w:bCs/>
      <w:szCs w:val="24"/>
    </w:rPr>
  </w:style>
  <w:style w:type="character" w:customStyle="1" w:styleId="44">
    <w:name w:val="页眉 字符"/>
    <w:basedOn w:val="19"/>
    <w:link w:val="17"/>
    <w:qFormat/>
    <w:uiPriority w:val="99"/>
    <w:rPr>
      <w:rFonts w:ascii="Times New Roman" w:hAnsi="Times New Roman" w:eastAsia="宋体" w:cs="Times New Roman"/>
      <w:sz w:val="18"/>
      <w:szCs w:val="18"/>
    </w:rPr>
  </w:style>
  <w:style w:type="character" w:customStyle="1" w:styleId="45">
    <w:name w:val="页脚 字符"/>
    <w:basedOn w:val="19"/>
    <w:link w:val="16"/>
    <w:qFormat/>
    <w:uiPriority w:val="99"/>
    <w:rPr>
      <w:rFonts w:ascii="Times New Roman" w:hAnsi="Times New Roman" w:eastAsia="宋体" w:cs="Times New Roman"/>
      <w:sz w:val="18"/>
      <w:szCs w:val="18"/>
    </w:rPr>
  </w:style>
  <w:style w:type="character" w:customStyle="1" w:styleId="46">
    <w:name w:val="font01"/>
    <w:basedOn w:val="19"/>
    <w:qFormat/>
    <w:uiPriority w:val="0"/>
    <w:rPr>
      <w:rFonts w:hint="eastAsia" w:ascii="宋体" w:hAnsi="宋体" w:eastAsia="宋体" w:cs="宋体"/>
      <w:b/>
      <w:color w:val="000000"/>
      <w:sz w:val="18"/>
      <w:szCs w:val="18"/>
      <w:u w:val="none"/>
    </w:rPr>
  </w:style>
  <w:style w:type="character" w:customStyle="1" w:styleId="47">
    <w:name w:val="font11"/>
    <w:basedOn w:val="19"/>
    <w:qFormat/>
    <w:uiPriority w:val="0"/>
    <w:rPr>
      <w:rFonts w:hint="eastAsia" w:ascii="宋体" w:hAnsi="宋体" w:eastAsia="宋体" w:cs="宋体"/>
      <w:b/>
      <w:color w:val="000000"/>
      <w:sz w:val="24"/>
      <w:szCs w:val="24"/>
      <w:u w:val="none"/>
    </w:rPr>
  </w:style>
  <w:style w:type="character" w:customStyle="1" w:styleId="48">
    <w:name w:val="font21"/>
    <w:basedOn w:val="19"/>
    <w:qFormat/>
    <w:uiPriority w:val="0"/>
    <w:rPr>
      <w:rFonts w:hint="eastAsia" w:ascii="宋体" w:hAnsi="宋体" w:eastAsia="宋体" w:cs="宋体"/>
      <w:color w:val="000000"/>
      <w:sz w:val="20"/>
      <w:szCs w:val="20"/>
      <w:u w:val="none"/>
    </w:rPr>
  </w:style>
</w:styles>
</file>

<file path=word/_rels/document.xml.rels><?xml version="1.0" encoding="UTF-8" standalone="yes"?>
<Relationships xmlns="http://schemas.openxmlformats.org/package/2006/relationships"><Relationship Id="rId1" Type="http://schemas.openxmlformats.org/officeDocument/2006/relationships/fontTable" Target="fontTable.xml"/><Relationship Id="rId2" Type="http://schemas.openxmlformats.org/officeDocument/2006/relationships/styles" Target="styles.xml"/><Relationship Id="rId3" Type="http://schemas.openxmlformats.org/officeDocument/2006/relationships/settings" Target="settings.xml"/><Relationship Id="rId4" Type="http://schemas.openxmlformats.org/officeDocument/2006/relationships/footer" Target="footer1.xml"/><Relationship Id="rId5" Type="http://schemas.openxmlformats.org/officeDocument/2006/relationships/theme" Target="theme/theme1.xml"/><Relationship Id="rId6" Type="http://schemas.openxmlformats.org/officeDocument/2006/relationships/image" Target="media/image1.png"/><Relationship Id="rId7" Type="http://schemas.openxmlformats.org/officeDocument/2006/relationships/customXml" Target="../customXml/item1.xml"/><Relationship Id="rId8" Type="http://schemas.openxmlformats.org/officeDocument/2006/relationships/numbering" Target="numbering.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Arab" typeface="Times New Roman"/>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Times New Roman"/>
        <a:font script="Jpan" typeface="ＭＳ Ｐゴシック"/>
        <a:font script="Khmr" typeface="MoolBoran"/>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Times New Roman"/>
        <a:font script="Yiii" typeface="Microsoft Yi Baiti"/>
      </a:majorFont>
      <a:minorFont>
        <a:latin typeface="Calibri"/>
        <a:ea typeface=""/>
        <a:cs typeface=""/>
        <a:font script="Arab" typeface="Arial"/>
        <a:font script="Beng" typeface="Vrinda"/>
        <a:font script="Cans" typeface="Euphemia"/>
        <a:font script="Cher" typeface="Plantagenet Cherokee"/>
        <a:font script="Deva" typeface="Mangal"/>
        <a:font script="Ethi" typeface="Nyala"/>
        <a:font script="Geor" typeface="Sylfaen"/>
        <a:font script="Gujr" typeface="Shruti"/>
        <a:font script="Guru" typeface="Raavi"/>
        <a:font script="Hang" typeface="맑은 고딕"/>
        <a:font script="Hans" typeface="宋体"/>
        <a:font script="Hant" typeface="新細明體"/>
        <a:font script="Hebr" typeface="Arial"/>
        <a:font script="Jpan" typeface="ＭＳ Ｐゴシック"/>
        <a:font script="Khmr" typeface="DaunPenh"/>
        <a:font script="Knda" typeface="Tunga"/>
        <a:font script="Laoo" typeface="DokChampa"/>
        <a:font script="Mlym" typeface="Kartika"/>
        <a:font script="Mong" typeface="Mongolian Baiti"/>
        <a:font script="Orya" typeface="Kalinga"/>
        <a:font script="Sinh" typeface="Iskoola Pota"/>
        <a:font script="Syrc" typeface="Estrangelo Edessa"/>
        <a:font script="Taml" typeface="Latha"/>
        <a:font script="Telu" typeface="Gautami"/>
        <a:font script="Thaa" typeface="MV Boli"/>
        <a:font script="Thai" typeface="Tahoma"/>
        <a:font script="Tibt" typeface="Microsoft Himalaya"/>
        <a:font script="Uigh" typeface="Microsoft Uighur"/>
        <a:font script="Viet" typeface="Arial"/>
        <a:font script="Yiii" typeface="Microsoft Yi Baiti"/>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atMod val="350000"/>
                <a:shade val="99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op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Microsoft</Company>
  <Pages>18</Pages>
  <Words>1600</Words>
  <Characters>9124</Characters>
  <Lines>76</Lines>
  <Paragraphs>21</Paragraphs>
  <TotalTime>0</TotalTime>
  <ScaleCrop>false</ScaleCrop>
  <LinksUpToDate>false</LinksUpToDate>
  <CharactersWithSpaces>0</CharactersWithSpaces>
  <Application>WPS Office 个人版_9.1.0.4468_{F1E327BC-269C-435d-A152-05C5408002CA}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2020-04-01T14:19:00Z</dcterms:created>
  <dc:creator>admin</dc:creator>
  <cp:lastModifiedBy>Administrator</cp:lastModifiedBy>
  <cp:lastPrinted>2021-01-21T00:07:00Z</cp:lastPrinted>
  <dcterms:modified xsi:type="dcterms:W3CDTF">2024-05-09T06:25:35Z</dcterms:modified>
  <dc:title>项目招标范围及管理要求</dc:title>
  <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2052-9.1.0.4468</vt:lpwstr>
  </property>
  <property fmtid="{D5CDD505-2E9C-101B-9397-08002B2CF9AE}" pid="3" name="ICV">
    <vt:lpwstr>9E50FB9C5A0E4F9D890AE2B772F4F5D3</vt:lpwstr>
  </property>
</Properties>
</file>